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EAFD9" w14:textId="11B754BC" w:rsidR="0040474D" w:rsidRDefault="0040474D" w:rsidP="0040474D">
      <w:pPr>
        <w:pStyle w:val="Titre"/>
      </w:pPr>
      <w:r>
        <w:t xml:space="preserve">Annexe </w:t>
      </w:r>
      <w:r w:rsidR="00BD1151">
        <w:t>0</w:t>
      </w:r>
      <w:r>
        <w:t xml:space="preserve"> : règles </w:t>
      </w:r>
      <w:r w:rsidR="00DC2230">
        <w:t xml:space="preserve">transitoires </w:t>
      </w:r>
      <w:r w:rsidR="00670369">
        <w:t xml:space="preserve">qui </w:t>
      </w:r>
      <w:r w:rsidR="00DC2230">
        <w:t>préfigur</w:t>
      </w:r>
      <w:r w:rsidR="00670369">
        <w:t>e</w:t>
      </w:r>
      <w:r w:rsidR="00DC2230">
        <w:t xml:space="preserve">nt </w:t>
      </w:r>
      <w:r w:rsidR="00AE40E7">
        <w:t xml:space="preserve">la régulation </w:t>
      </w:r>
      <w:r>
        <w:t>prudentielle s’appliquant aux fournisseurs d’électricité et de gaz naturel</w:t>
      </w:r>
      <w:r w:rsidDel="00836556">
        <w:t xml:space="preserve"> </w:t>
      </w:r>
    </w:p>
    <w:sdt>
      <w:sdtPr>
        <w:rPr>
          <w:b w:val="0"/>
          <w:iCs/>
          <w:color w:val="auto"/>
          <w:sz w:val="20"/>
          <w:szCs w:val="20"/>
        </w:rPr>
        <w:id w:val="1224259776"/>
        <w:docPartObj>
          <w:docPartGallery w:val="Table of Contents"/>
          <w:docPartUnique/>
        </w:docPartObj>
      </w:sdtPr>
      <w:sdtEndPr/>
      <w:sdtContent>
        <w:p w14:paraId="6BF54692" w14:textId="74A083BC" w:rsidR="00C668AE" w:rsidRDefault="00D738D4" w:rsidP="00B74D27">
          <w:pPr>
            <w:pStyle w:val="En-ttedetabledesmatires"/>
            <w:pageBreakBefore/>
          </w:pPr>
          <w:r>
            <w:t>Sommaire</w:t>
          </w:r>
        </w:p>
        <w:p w14:paraId="23C9D811" w14:textId="614BCBFB" w:rsidR="0038500C" w:rsidRDefault="00717987">
          <w:pPr>
            <w:pStyle w:val="TM1"/>
            <w:rPr>
              <w:rFonts w:asciiTheme="minorHAnsi" w:eastAsiaTheme="minorEastAsia" w:hAnsiTheme="minorHAnsi" w:cstheme="minorBidi"/>
              <w:b w:val="0"/>
              <w:bCs w:val="0"/>
              <w:iCs w:val="0"/>
              <w:color w:val="auto"/>
              <w:sz w:val="24"/>
              <w:lang w:eastAsia="fr-FR"/>
            </w:rPr>
          </w:pPr>
          <w:r>
            <w:fldChar w:fldCharType="begin"/>
          </w:r>
          <w:r>
            <w:instrText xml:space="preserve"> TOC \o "1-4" \h \z \u </w:instrText>
          </w:r>
          <w:r>
            <w:fldChar w:fldCharType="separate"/>
          </w:r>
          <w:hyperlink w:anchor="_Toc232094724" w:history="1">
            <w:r w:rsidR="0038500C" w:rsidRPr="00C50B04">
              <w:rPr>
                <w:rStyle w:val="Lienhypertexte"/>
                <w:rFonts w:ascii="Arial" w:hAnsi="Arial"/>
              </w:rPr>
              <w:t>1.</w:t>
            </w:r>
            <w:r w:rsidR="0038500C">
              <w:rPr>
                <w:rFonts w:asciiTheme="minorHAnsi" w:eastAsiaTheme="minorEastAsia" w:hAnsiTheme="minorHAnsi" w:cstheme="minorBidi"/>
                <w:b w:val="0"/>
                <w:bCs w:val="0"/>
                <w:iCs w:val="0"/>
                <w:color w:val="auto"/>
                <w:sz w:val="24"/>
                <w:lang w:eastAsia="fr-FR"/>
              </w:rPr>
              <w:tab/>
            </w:r>
            <w:r w:rsidR="0038500C" w:rsidRPr="00C50B04">
              <w:rPr>
                <w:rStyle w:val="Lienhypertexte"/>
              </w:rPr>
              <w:t>Contexte et cadre juridique</w:t>
            </w:r>
            <w:r w:rsidR="0038500C">
              <w:rPr>
                <w:webHidden/>
              </w:rPr>
              <w:tab/>
            </w:r>
            <w:r w:rsidR="0038500C">
              <w:rPr>
                <w:webHidden/>
              </w:rPr>
              <w:fldChar w:fldCharType="begin"/>
            </w:r>
            <w:r w:rsidR="0038500C">
              <w:rPr>
                <w:webHidden/>
              </w:rPr>
              <w:instrText xml:space="preserve"> PAGEREF _Toc232094724 \h </w:instrText>
            </w:r>
            <w:r w:rsidR="0038500C">
              <w:rPr>
                <w:webHidden/>
              </w:rPr>
            </w:r>
            <w:r w:rsidR="0038500C">
              <w:rPr>
                <w:webHidden/>
              </w:rPr>
              <w:fldChar w:fldCharType="separate"/>
            </w:r>
            <w:r w:rsidR="0038500C">
              <w:rPr>
                <w:webHidden/>
              </w:rPr>
              <w:t>4</w:t>
            </w:r>
            <w:r w:rsidR="0038500C">
              <w:rPr>
                <w:webHidden/>
              </w:rPr>
              <w:fldChar w:fldCharType="end"/>
            </w:r>
          </w:hyperlink>
        </w:p>
        <w:p w14:paraId="1172C8BD" w14:textId="4DA419D8" w:rsidR="0038500C" w:rsidRDefault="0038500C">
          <w:pPr>
            <w:pStyle w:val="TM1"/>
            <w:rPr>
              <w:rFonts w:asciiTheme="minorHAnsi" w:eastAsiaTheme="minorEastAsia" w:hAnsiTheme="minorHAnsi" w:cstheme="minorBidi"/>
              <w:b w:val="0"/>
              <w:bCs w:val="0"/>
              <w:iCs w:val="0"/>
              <w:color w:val="auto"/>
              <w:sz w:val="24"/>
              <w:lang w:eastAsia="fr-FR"/>
            </w:rPr>
          </w:pPr>
          <w:hyperlink w:anchor="_Toc232094725" w:history="1">
            <w:r w:rsidRPr="00C50B04">
              <w:rPr>
                <w:rStyle w:val="Lienhypertexte"/>
                <w:rFonts w:ascii="Arial" w:hAnsi="Arial"/>
              </w:rPr>
              <w:t>2.</w:t>
            </w:r>
            <w:r>
              <w:rPr>
                <w:rFonts w:asciiTheme="minorHAnsi" w:eastAsiaTheme="minorEastAsia" w:hAnsiTheme="minorHAnsi" w:cstheme="minorBidi"/>
                <w:b w:val="0"/>
                <w:bCs w:val="0"/>
                <w:iCs w:val="0"/>
                <w:color w:val="auto"/>
                <w:sz w:val="24"/>
                <w:lang w:eastAsia="fr-FR"/>
              </w:rPr>
              <w:tab/>
            </w:r>
            <w:r w:rsidRPr="00C50B04">
              <w:rPr>
                <w:rStyle w:val="Lienhypertexte"/>
              </w:rPr>
              <w:t>Caractéristiques du dispositif de régulation prudentielle</w:t>
            </w:r>
            <w:r>
              <w:rPr>
                <w:webHidden/>
              </w:rPr>
              <w:tab/>
            </w:r>
            <w:r>
              <w:rPr>
                <w:webHidden/>
              </w:rPr>
              <w:fldChar w:fldCharType="begin"/>
            </w:r>
            <w:r>
              <w:rPr>
                <w:webHidden/>
              </w:rPr>
              <w:instrText xml:space="preserve"> PAGEREF _Toc232094725 \h </w:instrText>
            </w:r>
            <w:r>
              <w:rPr>
                <w:webHidden/>
              </w:rPr>
            </w:r>
            <w:r>
              <w:rPr>
                <w:webHidden/>
              </w:rPr>
              <w:fldChar w:fldCharType="separate"/>
            </w:r>
            <w:r>
              <w:rPr>
                <w:webHidden/>
              </w:rPr>
              <w:t>4</w:t>
            </w:r>
            <w:r>
              <w:rPr>
                <w:webHidden/>
              </w:rPr>
              <w:fldChar w:fldCharType="end"/>
            </w:r>
          </w:hyperlink>
        </w:p>
        <w:p w14:paraId="7B8BB5DA" w14:textId="74F757CC" w:rsidR="0038500C" w:rsidRDefault="0038500C">
          <w:pPr>
            <w:pStyle w:val="TM2"/>
            <w:rPr>
              <w:rFonts w:eastAsiaTheme="minorEastAsia"/>
              <w:b w:val="0"/>
              <w:noProof/>
              <w:lang w:eastAsia="fr-FR"/>
            </w:rPr>
          </w:pPr>
          <w:hyperlink w:anchor="_Toc232094726" w:history="1">
            <w:r w:rsidRPr="00C50B04">
              <w:rPr>
                <w:rStyle w:val="Lienhypertexte"/>
                <w:rFonts w:ascii="Arial" w:hAnsi="Arial"/>
                <w:noProof/>
              </w:rPr>
              <w:t>2.1.</w:t>
            </w:r>
            <w:r>
              <w:rPr>
                <w:rFonts w:eastAsiaTheme="minorEastAsia"/>
                <w:b w:val="0"/>
                <w:noProof/>
                <w:lang w:eastAsia="fr-FR"/>
              </w:rPr>
              <w:tab/>
            </w:r>
            <w:r w:rsidRPr="00C50B04">
              <w:rPr>
                <w:rStyle w:val="Lienhypertexte"/>
                <w:noProof/>
              </w:rPr>
              <w:t>Architecture globale du dispositif</w:t>
            </w:r>
            <w:r>
              <w:rPr>
                <w:noProof/>
                <w:webHidden/>
              </w:rPr>
              <w:tab/>
            </w:r>
            <w:r>
              <w:rPr>
                <w:noProof/>
                <w:webHidden/>
              </w:rPr>
              <w:fldChar w:fldCharType="begin"/>
            </w:r>
            <w:r>
              <w:rPr>
                <w:noProof/>
                <w:webHidden/>
              </w:rPr>
              <w:instrText xml:space="preserve"> PAGEREF _Toc232094726 \h </w:instrText>
            </w:r>
            <w:r>
              <w:rPr>
                <w:noProof/>
                <w:webHidden/>
              </w:rPr>
            </w:r>
            <w:r>
              <w:rPr>
                <w:noProof/>
                <w:webHidden/>
              </w:rPr>
              <w:fldChar w:fldCharType="separate"/>
            </w:r>
            <w:r>
              <w:rPr>
                <w:noProof/>
                <w:webHidden/>
              </w:rPr>
              <w:t>4</w:t>
            </w:r>
            <w:r>
              <w:rPr>
                <w:noProof/>
                <w:webHidden/>
              </w:rPr>
              <w:fldChar w:fldCharType="end"/>
            </w:r>
          </w:hyperlink>
        </w:p>
        <w:p w14:paraId="39CC5911" w14:textId="4C40A539" w:rsidR="0038500C" w:rsidRDefault="0038500C">
          <w:pPr>
            <w:pStyle w:val="TM2"/>
            <w:rPr>
              <w:rFonts w:eastAsiaTheme="minorEastAsia"/>
              <w:b w:val="0"/>
              <w:noProof/>
              <w:lang w:eastAsia="fr-FR"/>
            </w:rPr>
          </w:pPr>
          <w:hyperlink w:anchor="_Toc232094727" w:history="1">
            <w:r w:rsidRPr="00C50B04">
              <w:rPr>
                <w:rStyle w:val="Lienhypertexte"/>
                <w:rFonts w:ascii="Arial" w:hAnsi="Arial"/>
                <w:noProof/>
              </w:rPr>
              <w:t>2.2.</w:t>
            </w:r>
            <w:r>
              <w:rPr>
                <w:rFonts w:eastAsiaTheme="minorEastAsia"/>
                <w:b w:val="0"/>
                <w:noProof/>
                <w:lang w:eastAsia="fr-FR"/>
              </w:rPr>
              <w:tab/>
            </w:r>
            <w:r w:rsidRPr="00C50B04">
              <w:rPr>
                <w:rStyle w:val="Lienhypertexte"/>
                <w:noProof/>
              </w:rPr>
              <w:t>Périmètre du dispositif</w:t>
            </w:r>
            <w:r>
              <w:rPr>
                <w:noProof/>
                <w:webHidden/>
              </w:rPr>
              <w:tab/>
            </w:r>
            <w:r>
              <w:rPr>
                <w:noProof/>
                <w:webHidden/>
              </w:rPr>
              <w:fldChar w:fldCharType="begin"/>
            </w:r>
            <w:r>
              <w:rPr>
                <w:noProof/>
                <w:webHidden/>
              </w:rPr>
              <w:instrText xml:space="preserve"> PAGEREF _Toc232094727 \h </w:instrText>
            </w:r>
            <w:r>
              <w:rPr>
                <w:noProof/>
                <w:webHidden/>
              </w:rPr>
            </w:r>
            <w:r>
              <w:rPr>
                <w:noProof/>
                <w:webHidden/>
              </w:rPr>
              <w:fldChar w:fldCharType="separate"/>
            </w:r>
            <w:r>
              <w:rPr>
                <w:noProof/>
                <w:webHidden/>
              </w:rPr>
              <w:t>5</w:t>
            </w:r>
            <w:r>
              <w:rPr>
                <w:noProof/>
                <w:webHidden/>
              </w:rPr>
              <w:fldChar w:fldCharType="end"/>
            </w:r>
          </w:hyperlink>
        </w:p>
        <w:p w14:paraId="6F81B82A" w14:textId="52714C1C" w:rsidR="0038500C" w:rsidRDefault="0038500C">
          <w:pPr>
            <w:pStyle w:val="TM3"/>
            <w:rPr>
              <w:rFonts w:eastAsiaTheme="minorEastAsia"/>
              <w:b w:val="0"/>
              <w:noProof/>
              <w:sz w:val="24"/>
              <w:lang w:eastAsia="fr-FR"/>
            </w:rPr>
          </w:pPr>
          <w:hyperlink w:anchor="_Toc232094728" w:history="1">
            <w:r w:rsidRPr="00C50B04">
              <w:rPr>
                <w:rStyle w:val="Lienhypertexte"/>
                <w:rFonts w:ascii="Arial" w:hAnsi="Arial"/>
                <w:noProof/>
              </w:rPr>
              <w:t>2.2.1.</w:t>
            </w:r>
            <w:r>
              <w:rPr>
                <w:rFonts w:eastAsiaTheme="minorEastAsia"/>
                <w:b w:val="0"/>
                <w:noProof/>
                <w:sz w:val="24"/>
                <w:lang w:eastAsia="fr-FR"/>
              </w:rPr>
              <w:tab/>
            </w:r>
            <w:r w:rsidRPr="00C50B04">
              <w:rPr>
                <w:rStyle w:val="Lienhypertexte"/>
                <w:noProof/>
              </w:rPr>
              <w:t>Acteurs concernés</w:t>
            </w:r>
            <w:r>
              <w:rPr>
                <w:noProof/>
                <w:webHidden/>
              </w:rPr>
              <w:tab/>
            </w:r>
            <w:r>
              <w:rPr>
                <w:noProof/>
                <w:webHidden/>
              </w:rPr>
              <w:fldChar w:fldCharType="begin"/>
            </w:r>
            <w:r>
              <w:rPr>
                <w:noProof/>
                <w:webHidden/>
              </w:rPr>
              <w:instrText xml:space="preserve"> PAGEREF _Toc232094728 \h </w:instrText>
            </w:r>
            <w:r>
              <w:rPr>
                <w:noProof/>
                <w:webHidden/>
              </w:rPr>
            </w:r>
            <w:r>
              <w:rPr>
                <w:noProof/>
                <w:webHidden/>
              </w:rPr>
              <w:fldChar w:fldCharType="separate"/>
            </w:r>
            <w:r>
              <w:rPr>
                <w:noProof/>
                <w:webHidden/>
              </w:rPr>
              <w:t>6</w:t>
            </w:r>
            <w:r>
              <w:rPr>
                <w:noProof/>
                <w:webHidden/>
              </w:rPr>
              <w:fldChar w:fldCharType="end"/>
            </w:r>
          </w:hyperlink>
        </w:p>
        <w:p w14:paraId="5E831F0A" w14:textId="0AFAB992" w:rsidR="0038500C" w:rsidRDefault="0038500C">
          <w:pPr>
            <w:pStyle w:val="TM3"/>
            <w:rPr>
              <w:rFonts w:eastAsiaTheme="minorEastAsia"/>
              <w:b w:val="0"/>
              <w:noProof/>
              <w:sz w:val="24"/>
              <w:lang w:eastAsia="fr-FR"/>
            </w:rPr>
          </w:pPr>
          <w:hyperlink w:anchor="_Toc232094729" w:history="1">
            <w:r w:rsidRPr="00C50B04">
              <w:rPr>
                <w:rStyle w:val="Lienhypertexte"/>
                <w:rFonts w:ascii="Arial" w:hAnsi="Arial"/>
                <w:noProof/>
              </w:rPr>
              <w:t>2.2.2.</w:t>
            </w:r>
            <w:r>
              <w:rPr>
                <w:rFonts w:eastAsiaTheme="minorEastAsia"/>
                <w:b w:val="0"/>
                <w:noProof/>
                <w:sz w:val="24"/>
                <w:lang w:eastAsia="fr-FR"/>
              </w:rPr>
              <w:tab/>
            </w:r>
            <w:r w:rsidRPr="00C50B04">
              <w:rPr>
                <w:rStyle w:val="Lienhypertexte"/>
                <w:noProof/>
              </w:rPr>
              <w:t>Contrats constituant un engagement auprès du consommateur</w:t>
            </w:r>
            <w:r>
              <w:rPr>
                <w:noProof/>
                <w:webHidden/>
              </w:rPr>
              <w:tab/>
            </w:r>
            <w:r>
              <w:rPr>
                <w:noProof/>
                <w:webHidden/>
              </w:rPr>
              <w:fldChar w:fldCharType="begin"/>
            </w:r>
            <w:r>
              <w:rPr>
                <w:noProof/>
                <w:webHidden/>
              </w:rPr>
              <w:instrText xml:space="preserve"> PAGEREF _Toc232094729 \h </w:instrText>
            </w:r>
            <w:r>
              <w:rPr>
                <w:noProof/>
                <w:webHidden/>
              </w:rPr>
            </w:r>
            <w:r>
              <w:rPr>
                <w:noProof/>
                <w:webHidden/>
              </w:rPr>
              <w:fldChar w:fldCharType="separate"/>
            </w:r>
            <w:r>
              <w:rPr>
                <w:noProof/>
                <w:webHidden/>
              </w:rPr>
              <w:t>6</w:t>
            </w:r>
            <w:r>
              <w:rPr>
                <w:noProof/>
                <w:webHidden/>
              </w:rPr>
              <w:fldChar w:fldCharType="end"/>
            </w:r>
          </w:hyperlink>
        </w:p>
        <w:p w14:paraId="674A9F2B" w14:textId="56EDD795" w:rsidR="0038500C" w:rsidRDefault="0038500C">
          <w:pPr>
            <w:pStyle w:val="TM3"/>
            <w:rPr>
              <w:rFonts w:eastAsiaTheme="minorEastAsia"/>
              <w:b w:val="0"/>
              <w:noProof/>
              <w:sz w:val="24"/>
              <w:lang w:eastAsia="fr-FR"/>
            </w:rPr>
          </w:pPr>
          <w:hyperlink w:anchor="_Toc232094730" w:history="1">
            <w:r w:rsidRPr="00C50B04">
              <w:rPr>
                <w:rStyle w:val="Lienhypertexte"/>
                <w:rFonts w:ascii="Arial" w:hAnsi="Arial"/>
                <w:noProof/>
              </w:rPr>
              <w:t>2.2.3.</w:t>
            </w:r>
            <w:r>
              <w:rPr>
                <w:rFonts w:eastAsiaTheme="minorEastAsia"/>
                <w:b w:val="0"/>
                <w:noProof/>
                <w:sz w:val="24"/>
                <w:lang w:eastAsia="fr-FR"/>
              </w:rPr>
              <w:tab/>
            </w:r>
            <w:r w:rsidRPr="00C50B04">
              <w:rPr>
                <w:rStyle w:val="Lienhypertexte"/>
                <w:noProof/>
              </w:rPr>
              <w:t>Volumes sujets au critère en couverture au sein des contrats constituant un engagement auprès du consommateur</w:t>
            </w:r>
            <w:r>
              <w:rPr>
                <w:noProof/>
                <w:webHidden/>
              </w:rPr>
              <w:tab/>
            </w:r>
            <w:r>
              <w:rPr>
                <w:noProof/>
                <w:webHidden/>
              </w:rPr>
              <w:fldChar w:fldCharType="begin"/>
            </w:r>
            <w:r>
              <w:rPr>
                <w:noProof/>
                <w:webHidden/>
              </w:rPr>
              <w:instrText xml:space="preserve"> PAGEREF _Toc232094730 \h </w:instrText>
            </w:r>
            <w:r>
              <w:rPr>
                <w:noProof/>
                <w:webHidden/>
              </w:rPr>
            </w:r>
            <w:r>
              <w:rPr>
                <w:noProof/>
                <w:webHidden/>
              </w:rPr>
              <w:fldChar w:fldCharType="separate"/>
            </w:r>
            <w:r>
              <w:rPr>
                <w:noProof/>
                <w:webHidden/>
              </w:rPr>
              <w:t>7</w:t>
            </w:r>
            <w:r>
              <w:rPr>
                <w:noProof/>
                <w:webHidden/>
              </w:rPr>
              <w:fldChar w:fldCharType="end"/>
            </w:r>
          </w:hyperlink>
        </w:p>
        <w:p w14:paraId="34C91AF9" w14:textId="7544D40B" w:rsidR="0038500C" w:rsidRDefault="0038500C">
          <w:pPr>
            <w:pStyle w:val="TM3"/>
            <w:rPr>
              <w:rFonts w:eastAsiaTheme="minorEastAsia"/>
              <w:b w:val="0"/>
              <w:noProof/>
              <w:sz w:val="24"/>
              <w:lang w:eastAsia="fr-FR"/>
            </w:rPr>
          </w:pPr>
          <w:hyperlink w:anchor="_Toc232094731" w:history="1">
            <w:r w:rsidRPr="00C50B04">
              <w:rPr>
                <w:rStyle w:val="Lienhypertexte"/>
                <w:rFonts w:ascii="Arial" w:hAnsi="Arial"/>
                <w:noProof/>
              </w:rPr>
              <w:t>2.2.4.</w:t>
            </w:r>
            <w:r>
              <w:rPr>
                <w:rFonts w:eastAsiaTheme="minorEastAsia"/>
                <w:b w:val="0"/>
                <w:noProof/>
                <w:sz w:val="24"/>
                <w:lang w:eastAsia="fr-FR"/>
              </w:rPr>
              <w:tab/>
            </w:r>
            <w:r w:rsidRPr="00C50B04">
              <w:rPr>
                <w:rStyle w:val="Lienhypertexte"/>
                <w:noProof/>
              </w:rPr>
              <w:t>Taux d’attrition retenu</w:t>
            </w:r>
            <w:r>
              <w:rPr>
                <w:noProof/>
                <w:webHidden/>
              </w:rPr>
              <w:tab/>
            </w:r>
            <w:r>
              <w:rPr>
                <w:noProof/>
                <w:webHidden/>
              </w:rPr>
              <w:fldChar w:fldCharType="begin"/>
            </w:r>
            <w:r>
              <w:rPr>
                <w:noProof/>
                <w:webHidden/>
              </w:rPr>
              <w:instrText xml:space="preserve"> PAGEREF _Toc232094731 \h </w:instrText>
            </w:r>
            <w:r>
              <w:rPr>
                <w:noProof/>
                <w:webHidden/>
              </w:rPr>
            </w:r>
            <w:r>
              <w:rPr>
                <w:noProof/>
                <w:webHidden/>
              </w:rPr>
              <w:fldChar w:fldCharType="separate"/>
            </w:r>
            <w:r>
              <w:rPr>
                <w:noProof/>
                <w:webHidden/>
              </w:rPr>
              <w:t>8</w:t>
            </w:r>
            <w:r>
              <w:rPr>
                <w:noProof/>
                <w:webHidden/>
              </w:rPr>
              <w:fldChar w:fldCharType="end"/>
            </w:r>
          </w:hyperlink>
        </w:p>
        <w:p w14:paraId="221CA0F2" w14:textId="27DEE336" w:rsidR="0038500C" w:rsidRDefault="0038500C">
          <w:pPr>
            <w:pStyle w:val="TM3"/>
            <w:rPr>
              <w:rFonts w:eastAsiaTheme="minorEastAsia"/>
              <w:b w:val="0"/>
              <w:noProof/>
              <w:sz w:val="24"/>
              <w:lang w:eastAsia="fr-FR"/>
            </w:rPr>
          </w:pPr>
          <w:hyperlink w:anchor="_Toc232094732" w:history="1">
            <w:r w:rsidRPr="00C50B04">
              <w:rPr>
                <w:rStyle w:val="Lienhypertexte"/>
                <w:rFonts w:ascii="Arial" w:hAnsi="Arial"/>
                <w:noProof/>
              </w:rPr>
              <w:t>2.2.5.</w:t>
            </w:r>
            <w:r>
              <w:rPr>
                <w:rFonts w:eastAsiaTheme="minorEastAsia"/>
                <w:b w:val="0"/>
                <w:noProof/>
                <w:sz w:val="24"/>
                <w:lang w:eastAsia="fr-FR"/>
              </w:rPr>
              <w:tab/>
            </w:r>
            <w:r w:rsidRPr="00C50B04">
              <w:rPr>
                <w:rStyle w:val="Lienhypertexte"/>
                <w:noProof/>
              </w:rPr>
              <w:t>Périmètre géographique des engagements à couvrir</w:t>
            </w:r>
            <w:r>
              <w:rPr>
                <w:noProof/>
                <w:webHidden/>
              </w:rPr>
              <w:tab/>
            </w:r>
            <w:r>
              <w:rPr>
                <w:noProof/>
                <w:webHidden/>
              </w:rPr>
              <w:fldChar w:fldCharType="begin"/>
            </w:r>
            <w:r>
              <w:rPr>
                <w:noProof/>
                <w:webHidden/>
              </w:rPr>
              <w:instrText xml:space="preserve"> PAGEREF _Toc232094732 \h </w:instrText>
            </w:r>
            <w:r>
              <w:rPr>
                <w:noProof/>
                <w:webHidden/>
              </w:rPr>
            </w:r>
            <w:r>
              <w:rPr>
                <w:noProof/>
                <w:webHidden/>
              </w:rPr>
              <w:fldChar w:fldCharType="separate"/>
            </w:r>
            <w:r>
              <w:rPr>
                <w:noProof/>
                <w:webHidden/>
              </w:rPr>
              <w:t>9</w:t>
            </w:r>
            <w:r>
              <w:rPr>
                <w:noProof/>
                <w:webHidden/>
              </w:rPr>
              <w:fldChar w:fldCharType="end"/>
            </w:r>
          </w:hyperlink>
        </w:p>
        <w:p w14:paraId="3F571943" w14:textId="4525AD0A" w:rsidR="0038500C" w:rsidRDefault="0038500C">
          <w:pPr>
            <w:pStyle w:val="TM2"/>
            <w:rPr>
              <w:rFonts w:eastAsiaTheme="minorEastAsia"/>
              <w:b w:val="0"/>
              <w:noProof/>
              <w:lang w:eastAsia="fr-FR"/>
            </w:rPr>
          </w:pPr>
          <w:hyperlink w:anchor="_Toc232094733" w:history="1">
            <w:r w:rsidRPr="00C50B04">
              <w:rPr>
                <w:rStyle w:val="Lienhypertexte"/>
                <w:rFonts w:ascii="Arial" w:hAnsi="Arial"/>
                <w:noProof/>
              </w:rPr>
              <w:t>2.3.</w:t>
            </w:r>
            <w:r>
              <w:rPr>
                <w:rFonts w:eastAsiaTheme="minorEastAsia"/>
                <w:b w:val="0"/>
                <w:noProof/>
                <w:lang w:eastAsia="fr-FR"/>
              </w:rPr>
              <w:tab/>
            </w:r>
            <w:r w:rsidRPr="00C50B04">
              <w:rPr>
                <w:rStyle w:val="Lienhypertexte"/>
                <w:noProof/>
              </w:rPr>
              <w:t>Fréquence du contrôle</w:t>
            </w:r>
            <w:r>
              <w:rPr>
                <w:noProof/>
                <w:webHidden/>
              </w:rPr>
              <w:tab/>
            </w:r>
            <w:r>
              <w:rPr>
                <w:noProof/>
                <w:webHidden/>
              </w:rPr>
              <w:fldChar w:fldCharType="begin"/>
            </w:r>
            <w:r>
              <w:rPr>
                <w:noProof/>
                <w:webHidden/>
              </w:rPr>
              <w:instrText xml:space="preserve"> PAGEREF _Toc232094733 \h </w:instrText>
            </w:r>
            <w:r>
              <w:rPr>
                <w:noProof/>
                <w:webHidden/>
              </w:rPr>
            </w:r>
            <w:r>
              <w:rPr>
                <w:noProof/>
                <w:webHidden/>
              </w:rPr>
              <w:fldChar w:fldCharType="separate"/>
            </w:r>
            <w:r>
              <w:rPr>
                <w:noProof/>
                <w:webHidden/>
              </w:rPr>
              <w:t>9</w:t>
            </w:r>
            <w:r>
              <w:rPr>
                <w:noProof/>
                <w:webHidden/>
              </w:rPr>
              <w:fldChar w:fldCharType="end"/>
            </w:r>
          </w:hyperlink>
        </w:p>
        <w:p w14:paraId="0B7105C5" w14:textId="3EEA5CDA" w:rsidR="0038500C" w:rsidRDefault="0038500C">
          <w:pPr>
            <w:pStyle w:val="TM2"/>
            <w:rPr>
              <w:rFonts w:eastAsiaTheme="minorEastAsia"/>
              <w:b w:val="0"/>
              <w:noProof/>
              <w:lang w:eastAsia="fr-FR"/>
            </w:rPr>
          </w:pPr>
          <w:hyperlink w:anchor="_Toc232094734" w:history="1">
            <w:r w:rsidRPr="00C50B04">
              <w:rPr>
                <w:rStyle w:val="Lienhypertexte"/>
                <w:rFonts w:ascii="Arial" w:hAnsi="Arial"/>
                <w:noProof/>
              </w:rPr>
              <w:t>2.4.</w:t>
            </w:r>
            <w:r>
              <w:rPr>
                <w:rFonts w:eastAsiaTheme="minorEastAsia"/>
                <w:b w:val="0"/>
                <w:noProof/>
                <w:lang w:eastAsia="fr-FR"/>
              </w:rPr>
              <w:tab/>
            </w:r>
            <w:r w:rsidRPr="00C50B04">
              <w:rPr>
                <w:rStyle w:val="Lienhypertexte"/>
                <w:noProof/>
              </w:rPr>
              <w:t>Conséquences d’une non-conformité</w:t>
            </w:r>
            <w:r>
              <w:rPr>
                <w:noProof/>
                <w:webHidden/>
              </w:rPr>
              <w:tab/>
            </w:r>
            <w:r>
              <w:rPr>
                <w:noProof/>
                <w:webHidden/>
              </w:rPr>
              <w:fldChar w:fldCharType="begin"/>
            </w:r>
            <w:r>
              <w:rPr>
                <w:noProof/>
                <w:webHidden/>
              </w:rPr>
              <w:instrText xml:space="preserve"> PAGEREF _Toc232094734 \h </w:instrText>
            </w:r>
            <w:r>
              <w:rPr>
                <w:noProof/>
                <w:webHidden/>
              </w:rPr>
            </w:r>
            <w:r>
              <w:rPr>
                <w:noProof/>
                <w:webHidden/>
              </w:rPr>
              <w:fldChar w:fldCharType="separate"/>
            </w:r>
            <w:r>
              <w:rPr>
                <w:noProof/>
                <w:webHidden/>
              </w:rPr>
              <w:t>9</w:t>
            </w:r>
            <w:r>
              <w:rPr>
                <w:noProof/>
                <w:webHidden/>
              </w:rPr>
              <w:fldChar w:fldCharType="end"/>
            </w:r>
          </w:hyperlink>
        </w:p>
        <w:p w14:paraId="09F715A9" w14:textId="4E3DA12E" w:rsidR="0038500C" w:rsidRDefault="0038500C">
          <w:pPr>
            <w:pStyle w:val="TM3"/>
            <w:rPr>
              <w:rFonts w:eastAsiaTheme="minorEastAsia"/>
              <w:b w:val="0"/>
              <w:noProof/>
              <w:sz w:val="24"/>
              <w:lang w:eastAsia="fr-FR"/>
            </w:rPr>
          </w:pPr>
          <w:hyperlink w:anchor="_Toc232094735" w:history="1">
            <w:r w:rsidRPr="00C50B04">
              <w:rPr>
                <w:rStyle w:val="Lienhypertexte"/>
                <w:rFonts w:ascii="Arial" w:hAnsi="Arial"/>
                <w:noProof/>
              </w:rPr>
              <w:t>2.4.1.</w:t>
            </w:r>
            <w:r>
              <w:rPr>
                <w:rFonts w:eastAsiaTheme="minorEastAsia"/>
                <w:b w:val="0"/>
                <w:noProof/>
                <w:sz w:val="24"/>
                <w:lang w:eastAsia="fr-FR"/>
              </w:rPr>
              <w:tab/>
            </w:r>
            <w:r w:rsidRPr="00C50B04">
              <w:rPr>
                <w:rStyle w:val="Lienhypertexte"/>
                <w:noProof/>
              </w:rPr>
              <w:t>Les modalités du plan de remise en conformité</w:t>
            </w:r>
            <w:r>
              <w:rPr>
                <w:noProof/>
                <w:webHidden/>
              </w:rPr>
              <w:tab/>
            </w:r>
            <w:r>
              <w:rPr>
                <w:noProof/>
                <w:webHidden/>
              </w:rPr>
              <w:fldChar w:fldCharType="begin"/>
            </w:r>
            <w:r>
              <w:rPr>
                <w:noProof/>
                <w:webHidden/>
              </w:rPr>
              <w:instrText xml:space="preserve"> PAGEREF _Toc232094735 \h </w:instrText>
            </w:r>
            <w:r>
              <w:rPr>
                <w:noProof/>
                <w:webHidden/>
              </w:rPr>
            </w:r>
            <w:r>
              <w:rPr>
                <w:noProof/>
                <w:webHidden/>
              </w:rPr>
              <w:fldChar w:fldCharType="separate"/>
            </w:r>
            <w:r>
              <w:rPr>
                <w:noProof/>
                <w:webHidden/>
              </w:rPr>
              <w:t>9</w:t>
            </w:r>
            <w:r>
              <w:rPr>
                <w:noProof/>
                <w:webHidden/>
              </w:rPr>
              <w:fldChar w:fldCharType="end"/>
            </w:r>
          </w:hyperlink>
        </w:p>
        <w:p w14:paraId="6706A59F" w14:textId="6D3B1C76" w:rsidR="0038500C" w:rsidRDefault="0038500C">
          <w:pPr>
            <w:pStyle w:val="TM3"/>
            <w:rPr>
              <w:rFonts w:eastAsiaTheme="minorEastAsia"/>
              <w:b w:val="0"/>
              <w:noProof/>
              <w:sz w:val="24"/>
              <w:lang w:eastAsia="fr-FR"/>
            </w:rPr>
          </w:pPr>
          <w:hyperlink w:anchor="_Toc232094736" w:history="1">
            <w:r w:rsidRPr="00C50B04">
              <w:rPr>
                <w:rStyle w:val="Lienhypertexte"/>
                <w:rFonts w:ascii="Arial" w:hAnsi="Arial"/>
                <w:noProof/>
              </w:rPr>
              <w:t>2.4.2.</w:t>
            </w:r>
            <w:r>
              <w:rPr>
                <w:rFonts w:eastAsiaTheme="minorEastAsia"/>
                <w:b w:val="0"/>
                <w:noProof/>
                <w:sz w:val="24"/>
                <w:lang w:eastAsia="fr-FR"/>
              </w:rPr>
              <w:tab/>
            </w:r>
            <w:r w:rsidRPr="00C50B04">
              <w:rPr>
                <w:rStyle w:val="Lienhypertexte"/>
                <w:noProof/>
              </w:rPr>
              <w:t xml:space="preserve">La mise en place du contrôle </w:t>
            </w:r>
            <w:r w:rsidRPr="00C50B04">
              <w:rPr>
                <w:rStyle w:val="Lienhypertexte"/>
                <w:i/>
                <w:noProof/>
              </w:rPr>
              <w:t>ex-post</w:t>
            </w:r>
            <w:r>
              <w:rPr>
                <w:noProof/>
                <w:webHidden/>
              </w:rPr>
              <w:tab/>
            </w:r>
            <w:r>
              <w:rPr>
                <w:noProof/>
                <w:webHidden/>
              </w:rPr>
              <w:fldChar w:fldCharType="begin"/>
            </w:r>
            <w:r>
              <w:rPr>
                <w:noProof/>
                <w:webHidden/>
              </w:rPr>
              <w:instrText xml:space="preserve"> PAGEREF _Toc232094736 \h </w:instrText>
            </w:r>
            <w:r>
              <w:rPr>
                <w:noProof/>
                <w:webHidden/>
              </w:rPr>
            </w:r>
            <w:r>
              <w:rPr>
                <w:noProof/>
                <w:webHidden/>
              </w:rPr>
              <w:fldChar w:fldCharType="separate"/>
            </w:r>
            <w:r>
              <w:rPr>
                <w:noProof/>
                <w:webHidden/>
              </w:rPr>
              <w:t>9</w:t>
            </w:r>
            <w:r>
              <w:rPr>
                <w:noProof/>
                <w:webHidden/>
              </w:rPr>
              <w:fldChar w:fldCharType="end"/>
            </w:r>
          </w:hyperlink>
        </w:p>
        <w:p w14:paraId="050CAB91" w14:textId="4B41B5F2" w:rsidR="0038500C" w:rsidRDefault="0038500C">
          <w:pPr>
            <w:pStyle w:val="TM2"/>
            <w:rPr>
              <w:rFonts w:eastAsiaTheme="minorEastAsia"/>
              <w:b w:val="0"/>
              <w:noProof/>
              <w:lang w:eastAsia="fr-FR"/>
            </w:rPr>
          </w:pPr>
          <w:hyperlink w:anchor="_Toc232094737" w:history="1">
            <w:r w:rsidRPr="00C50B04">
              <w:rPr>
                <w:rStyle w:val="Lienhypertexte"/>
                <w:rFonts w:ascii="Arial" w:hAnsi="Arial"/>
                <w:noProof/>
              </w:rPr>
              <w:t>2.5.</w:t>
            </w:r>
            <w:r>
              <w:rPr>
                <w:rFonts w:eastAsiaTheme="minorEastAsia"/>
                <w:b w:val="0"/>
                <w:noProof/>
                <w:lang w:eastAsia="fr-FR"/>
              </w:rPr>
              <w:tab/>
            </w:r>
            <w:r w:rsidRPr="00C50B04">
              <w:rPr>
                <w:rStyle w:val="Lienhypertexte"/>
                <w:noProof/>
              </w:rPr>
              <w:t>Calendrier des contrôles</w:t>
            </w:r>
            <w:r>
              <w:rPr>
                <w:noProof/>
                <w:webHidden/>
              </w:rPr>
              <w:tab/>
            </w:r>
            <w:r>
              <w:rPr>
                <w:noProof/>
                <w:webHidden/>
              </w:rPr>
              <w:fldChar w:fldCharType="begin"/>
            </w:r>
            <w:r>
              <w:rPr>
                <w:noProof/>
                <w:webHidden/>
              </w:rPr>
              <w:instrText xml:space="preserve"> PAGEREF _Toc232094737 \h </w:instrText>
            </w:r>
            <w:r>
              <w:rPr>
                <w:noProof/>
                <w:webHidden/>
              </w:rPr>
            </w:r>
            <w:r>
              <w:rPr>
                <w:noProof/>
                <w:webHidden/>
              </w:rPr>
              <w:fldChar w:fldCharType="separate"/>
            </w:r>
            <w:r>
              <w:rPr>
                <w:noProof/>
                <w:webHidden/>
              </w:rPr>
              <w:t>10</w:t>
            </w:r>
            <w:r>
              <w:rPr>
                <w:noProof/>
                <w:webHidden/>
              </w:rPr>
              <w:fldChar w:fldCharType="end"/>
            </w:r>
          </w:hyperlink>
        </w:p>
        <w:p w14:paraId="521E953E" w14:textId="6A4B0680" w:rsidR="0038500C" w:rsidRDefault="0038500C">
          <w:pPr>
            <w:pStyle w:val="TM1"/>
            <w:rPr>
              <w:rFonts w:asciiTheme="minorHAnsi" w:eastAsiaTheme="minorEastAsia" w:hAnsiTheme="minorHAnsi" w:cstheme="minorBidi"/>
              <w:b w:val="0"/>
              <w:bCs w:val="0"/>
              <w:iCs w:val="0"/>
              <w:color w:val="auto"/>
              <w:sz w:val="24"/>
              <w:lang w:eastAsia="fr-FR"/>
            </w:rPr>
          </w:pPr>
          <w:hyperlink w:anchor="_Toc232094738" w:history="1">
            <w:r w:rsidRPr="00C50B04">
              <w:rPr>
                <w:rStyle w:val="Lienhypertexte"/>
                <w:rFonts w:ascii="Arial" w:hAnsi="Arial"/>
              </w:rPr>
              <w:t>3.</w:t>
            </w:r>
            <w:r>
              <w:rPr>
                <w:rFonts w:asciiTheme="minorHAnsi" w:eastAsiaTheme="minorEastAsia" w:hAnsiTheme="minorHAnsi" w:cstheme="minorBidi"/>
                <w:b w:val="0"/>
                <w:bCs w:val="0"/>
                <w:iCs w:val="0"/>
                <w:color w:val="auto"/>
                <w:sz w:val="24"/>
                <w:lang w:eastAsia="fr-FR"/>
              </w:rPr>
              <w:tab/>
            </w:r>
            <w:r w:rsidRPr="00C50B04">
              <w:rPr>
                <w:rStyle w:val="Lienhypertexte"/>
              </w:rPr>
              <w:t>Définition du critère en couverture des fournisseurs</w:t>
            </w:r>
            <w:r>
              <w:rPr>
                <w:webHidden/>
              </w:rPr>
              <w:tab/>
            </w:r>
            <w:r>
              <w:rPr>
                <w:webHidden/>
              </w:rPr>
              <w:fldChar w:fldCharType="begin"/>
            </w:r>
            <w:r>
              <w:rPr>
                <w:webHidden/>
              </w:rPr>
              <w:instrText xml:space="preserve"> PAGEREF _Toc232094738 \h </w:instrText>
            </w:r>
            <w:r>
              <w:rPr>
                <w:webHidden/>
              </w:rPr>
            </w:r>
            <w:r>
              <w:rPr>
                <w:webHidden/>
              </w:rPr>
              <w:fldChar w:fldCharType="separate"/>
            </w:r>
            <w:r>
              <w:rPr>
                <w:webHidden/>
              </w:rPr>
              <w:t>10</w:t>
            </w:r>
            <w:r>
              <w:rPr>
                <w:webHidden/>
              </w:rPr>
              <w:fldChar w:fldCharType="end"/>
            </w:r>
          </w:hyperlink>
        </w:p>
        <w:p w14:paraId="7A5054DF" w14:textId="0AA9C91D" w:rsidR="0038500C" w:rsidRDefault="0038500C">
          <w:pPr>
            <w:pStyle w:val="TM2"/>
            <w:rPr>
              <w:rFonts w:eastAsiaTheme="minorEastAsia"/>
              <w:b w:val="0"/>
              <w:noProof/>
              <w:lang w:eastAsia="fr-FR"/>
            </w:rPr>
          </w:pPr>
          <w:hyperlink w:anchor="_Toc232094739" w:history="1">
            <w:r w:rsidRPr="00C50B04">
              <w:rPr>
                <w:rStyle w:val="Lienhypertexte"/>
                <w:rFonts w:ascii="Arial" w:hAnsi="Arial"/>
                <w:noProof/>
              </w:rPr>
              <w:t>3.1.</w:t>
            </w:r>
            <w:r>
              <w:rPr>
                <w:rFonts w:eastAsiaTheme="minorEastAsia"/>
                <w:b w:val="0"/>
                <w:noProof/>
                <w:lang w:eastAsia="fr-FR"/>
              </w:rPr>
              <w:tab/>
            </w:r>
            <w:r w:rsidRPr="00C50B04">
              <w:rPr>
                <w:rStyle w:val="Lienhypertexte"/>
                <w:noProof/>
              </w:rPr>
              <w:t>Dimensionnement et suivi du critère en couverture</w:t>
            </w:r>
            <w:r>
              <w:rPr>
                <w:noProof/>
                <w:webHidden/>
              </w:rPr>
              <w:tab/>
            </w:r>
            <w:r>
              <w:rPr>
                <w:noProof/>
                <w:webHidden/>
              </w:rPr>
              <w:fldChar w:fldCharType="begin"/>
            </w:r>
            <w:r>
              <w:rPr>
                <w:noProof/>
                <w:webHidden/>
              </w:rPr>
              <w:instrText xml:space="preserve"> PAGEREF _Toc232094739 \h </w:instrText>
            </w:r>
            <w:r>
              <w:rPr>
                <w:noProof/>
                <w:webHidden/>
              </w:rPr>
            </w:r>
            <w:r>
              <w:rPr>
                <w:noProof/>
                <w:webHidden/>
              </w:rPr>
              <w:fldChar w:fldCharType="separate"/>
            </w:r>
            <w:r>
              <w:rPr>
                <w:noProof/>
                <w:webHidden/>
              </w:rPr>
              <w:t>10</w:t>
            </w:r>
            <w:r>
              <w:rPr>
                <w:noProof/>
                <w:webHidden/>
              </w:rPr>
              <w:fldChar w:fldCharType="end"/>
            </w:r>
          </w:hyperlink>
        </w:p>
        <w:p w14:paraId="76D4D7AF" w14:textId="2AF36CA6" w:rsidR="0038500C" w:rsidRDefault="0038500C">
          <w:pPr>
            <w:pStyle w:val="TM3"/>
            <w:rPr>
              <w:rFonts w:eastAsiaTheme="minorEastAsia"/>
              <w:b w:val="0"/>
              <w:noProof/>
              <w:sz w:val="24"/>
              <w:lang w:eastAsia="fr-FR"/>
            </w:rPr>
          </w:pPr>
          <w:hyperlink w:anchor="_Toc232094740" w:history="1">
            <w:r w:rsidRPr="00C50B04">
              <w:rPr>
                <w:rStyle w:val="Lienhypertexte"/>
                <w:rFonts w:ascii="Arial" w:hAnsi="Arial"/>
                <w:noProof/>
              </w:rPr>
              <w:t>3.1.1.</w:t>
            </w:r>
            <w:r>
              <w:rPr>
                <w:rFonts w:eastAsiaTheme="minorEastAsia"/>
                <w:b w:val="0"/>
                <w:noProof/>
                <w:sz w:val="24"/>
                <w:lang w:eastAsia="fr-FR"/>
              </w:rPr>
              <w:tab/>
            </w:r>
            <w:r w:rsidRPr="00C50B04">
              <w:rPr>
                <w:rStyle w:val="Lienhypertexte"/>
                <w:noProof/>
              </w:rPr>
              <w:t>Un contrôle à double volet</w:t>
            </w:r>
            <w:r>
              <w:rPr>
                <w:noProof/>
                <w:webHidden/>
              </w:rPr>
              <w:tab/>
            </w:r>
            <w:r>
              <w:rPr>
                <w:noProof/>
                <w:webHidden/>
              </w:rPr>
              <w:fldChar w:fldCharType="begin"/>
            </w:r>
            <w:r>
              <w:rPr>
                <w:noProof/>
                <w:webHidden/>
              </w:rPr>
              <w:instrText xml:space="preserve"> PAGEREF _Toc232094740 \h </w:instrText>
            </w:r>
            <w:r>
              <w:rPr>
                <w:noProof/>
                <w:webHidden/>
              </w:rPr>
            </w:r>
            <w:r>
              <w:rPr>
                <w:noProof/>
                <w:webHidden/>
              </w:rPr>
              <w:fldChar w:fldCharType="separate"/>
            </w:r>
            <w:r>
              <w:rPr>
                <w:noProof/>
                <w:webHidden/>
              </w:rPr>
              <w:t>10</w:t>
            </w:r>
            <w:r>
              <w:rPr>
                <w:noProof/>
                <w:webHidden/>
              </w:rPr>
              <w:fldChar w:fldCharType="end"/>
            </w:r>
          </w:hyperlink>
        </w:p>
        <w:p w14:paraId="5E634B56" w14:textId="1067D2DB" w:rsidR="0038500C" w:rsidRDefault="0038500C">
          <w:pPr>
            <w:pStyle w:val="TM3"/>
            <w:rPr>
              <w:rFonts w:eastAsiaTheme="minorEastAsia"/>
              <w:b w:val="0"/>
              <w:noProof/>
              <w:sz w:val="24"/>
              <w:lang w:eastAsia="fr-FR"/>
            </w:rPr>
          </w:pPr>
          <w:hyperlink w:anchor="_Toc232094741" w:history="1">
            <w:r w:rsidRPr="00C50B04">
              <w:rPr>
                <w:rStyle w:val="Lienhypertexte"/>
                <w:rFonts w:ascii="Arial" w:hAnsi="Arial"/>
                <w:noProof/>
              </w:rPr>
              <w:t>3.1.2.</w:t>
            </w:r>
            <w:r>
              <w:rPr>
                <w:rFonts w:eastAsiaTheme="minorEastAsia"/>
                <w:b w:val="0"/>
                <w:noProof/>
                <w:sz w:val="24"/>
                <w:lang w:eastAsia="fr-FR"/>
              </w:rPr>
              <w:tab/>
            </w:r>
            <w:r w:rsidRPr="00C50B04">
              <w:rPr>
                <w:rStyle w:val="Lienhypertexte"/>
                <w:noProof/>
              </w:rPr>
              <w:t>Périodes d’évaluation du critère en couverture</w:t>
            </w:r>
            <w:r>
              <w:rPr>
                <w:noProof/>
                <w:webHidden/>
              </w:rPr>
              <w:tab/>
            </w:r>
            <w:r>
              <w:rPr>
                <w:noProof/>
                <w:webHidden/>
              </w:rPr>
              <w:fldChar w:fldCharType="begin"/>
            </w:r>
            <w:r>
              <w:rPr>
                <w:noProof/>
                <w:webHidden/>
              </w:rPr>
              <w:instrText xml:space="preserve"> PAGEREF _Toc232094741 \h </w:instrText>
            </w:r>
            <w:r>
              <w:rPr>
                <w:noProof/>
                <w:webHidden/>
              </w:rPr>
            </w:r>
            <w:r>
              <w:rPr>
                <w:noProof/>
                <w:webHidden/>
              </w:rPr>
              <w:fldChar w:fldCharType="separate"/>
            </w:r>
            <w:r>
              <w:rPr>
                <w:noProof/>
                <w:webHidden/>
              </w:rPr>
              <w:t>12</w:t>
            </w:r>
            <w:r>
              <w:rPr>
                <w:noProof/>
                <w:webHidden/>
              </w:rPr>
              <w:fldChar w:fldCharType="end"/>
            </w:r>
          </w:hyperlink>
        </w:p>
        <w:p w14:paraId="224DF856" w14:textId="7389EAED" w:rsidR="0038500C" w:rsidRDefault="0038500C">
          <w:pPr>
            <w:pStyle w:val="TM3"/>
            <w:rPr>
              <w:rFonts w:eastAsiaTheme="minorEastAsia"/>
              <w:b w:val="0"/>
              <w:noProof/>
              <w:sz w:val="24"/>
              <w:lang w:eastAsia="fr-FR"/>
            </w:rPr>
          </w:pPr>
          <w:hyperlink w:anchor="_Toc232094742" w:history="1">
            <w:r w:rsidRPr="00C50B04">
              <w:rPr>
                <w:rStyle w:val="Lienhypertexte"/>
                <w:rFonts w:ascii="Arial" w:hAnsi="Arial"/>
                <w:noProof/>
              </w:rPr>
              <w:t>3.1.3.</w:t>
            </w:r>
            <w:r>
              <w:rPr>
                <w:rFonts w:eastAsiaTheme="minorEastAsia"/>
                <w:b w:val="0"/>
                <w:noProof/>
                <w:sz w:val="24"/>
                <w:lang w:eastAsia="fr-FR"/>
              </w:rPr>
              <w:tab/>
            </w:r>
            <w:r w:rsidRPr="00C50B04">
              <w:rPr>
                <w:rStyle w:val="Lienhypertexte"/>
                <w:noProof/>
              </w:rPr>
              <w:t>Taux de couverture minimum cible retenu dans le critère en couverture</w:t>
            </w:r>
            <w:r>
              <w:rPr>
                <w:noProof/>
                <w:webHidden/>
              </w:rPr>
              <w:tab/>
            </w:r>
            <w:r>
              <w:rPr>
                <w:noProof/>
                <w:webHidden/>
              </w:rPr>
              <w:fldChar w:fldCharType="begin"/>
            </w:r>
            <w:r>
              <w:rPr>
                <w:noProof/>
                <w:webHidden/>
              </w:rPr>
              <w:instrText xml:space="preserve"> PAGEREF _Toc232094742 \h </w:instrText>
            </w:r>
            <w:r>
              <w:rPr>
                <w:noProof/>
                <w:webHidden/>
              </w:rPr>
            </w:r>
            <w:r>
              <w:rPr>
                <w:noProof/>
                <w:webHidden/>
              </w:rPr>
              <w:fldChar w:fldCharType="separate"/>
            </w:r>
            <w:r>
              <w:rPr>
                <w:noProof/>
                <w:webHidden/>
              </w:rPr>
              <w:t>12</w:t>
            </w:r>
            <w:r>
              <w:rPr>
                <w:noProof/>
                <w:webHidden/>
              </w:rPr>
              <w:fldChar w:fldCharType="end"/>
            </w:r>
          </w:hyperlink>
        </w:p>
        <w:p w14:paraId="243CC9C5" w14:textId="4F803C87" w:rsidR="0038500C" w:rsidRDefault="0038500C">
          <w:pPr>
            <w:pStyle w:val="TM2"/>
            <w:rPr>
              <w:rFonts w:eastAsiaTheme="minorEastAsia"/>
              <w:b w:val="0"/>
              <w:noProof/>
              <w:lang w:eastAsia="fr-FR"/>
            </w:rPr>
          </w:pPr>
          <w:hyperlink w:anchor="_Toc232094743" w:history="1">
            <w:r w:rsidRPr="00C50B04">
              <w:rPr>
                <w:rStyle w:val="Lienhypertexte"/>
                <w:rFonts w:ascii="Arial" w:hAnsi="Arial"/>
                <w:noProof/>
              </w:rPr>
              <w:t>3.2.</w:t>
            </w:r>
            <w:r>
              <w:rPr>
                <w:rFonts w:eastAsiaTheme="minorEastAsia"/>
                <w:b w:val="0"/>
                <w:noProof/>
                <w:lang w:eastAsia="fr-FR"/>
              </w:rPr>
              <w:tab/>
            </w:r>
            <w:r w:rsidRPr="00C50B04">
              <w:rPr>
                <w:rStyle w:val="Lienhypertexte"/>
                <w:noProof/>
              </w:rPr>
              <w:t>Critères d’éligibilité des couvertures prudentielles</w:t>
            </w:r>
            <w:r>
              <w:rPr>
                <w:noProof/>
                <w:webHidden/>
              </w:rPr>
              <w:tab/>
            </w:r>
            <w:r>
              <w:rPr>
                <w:noProof/>
                <w:webHidden/>
              </w:rPr>
              <w:fldChar w:fldCharType="begin"/>
            </w:r>
            <w:r>
              <w:rPr>
                <w:noProof/>
                <w:webHidden/>
              </w:rPr>
              <w:instrText xml:space="preserve"> PAGEREF _Toc232094743 \h </w:instrText>
            </w:r>
            <w:r>
              <w:rPr>
                <w:noProof/>
                <w:webHidden/>
              </w:rPr>
            </w:r>
            <w:r>
              <w:rPr>
                <w:noProof/>
                <w:webHidden/>
              </w:rPr>
              <w:fldChar w:fldCharType="separate"/>
            </w:r>
            <w:r>
              <w:rPr>
                <w:noProof/>
                <w:webHidden/>
              </w:rPr>
              <w:t>13</w:t>
            </w:r>
            <w:r>
              <w:rPr>
                <w:noProof/>
                <w:webHidden/>
              </w:rPr>
              <w:fldChar w:fldCharType="end"/>
            </w:r>
          </w:hyperlink>
        </w:p>
        <w:p w14:paraId="4B154BD4" w14:textId="3C5F61AD" w:rsidR="0038500C" w:rsidRDefault="0038500C">
          <w:pPr>
            <w:pStyle w:val="TM3"/>
            <w:rPr>
              <w:rFonts w:eastAsiaTheme="minorEastAsia"/>
              <w:b w:val="0"/>
              <w:noProof/>
              <w:sz w:val="24"/>
              <w:lang w:eastAsia="fr-FR"/>
            </w:rPr>
          </w:pPr>
          <w:hyperlink w:anchor="_Toc232094744" w:history="1">
            <w:r w:rsidRPr="00C50B04">
              <w:rPr>
                <w:rStyle w:val="Lienhypertexte"/>
                <w:rFonts w:ascii="Arial" w:hAnsi="Arial"/>
                <w:noProof/>
              </w:rPr>
              <w:t>3.2.1.</w:t>
            </w:r>
            <w:r>
              <w:rPr>
                <w:rFonts w:eastAsiaTheme="minorEastAsia"/>
                <w:b w:val="0"/>
                <w:noProof/>
                <w:sz w:val="24"/>
                <w:lang w:eastAsia="fr-FR"/>
              </w:rPr>
              <w:tab/>
            </w:r>
            <w:r w:rsidRPr="00C50B04">
              <w:rPr>
                <w:rStyle w:val="Lienhypertexte"/>
                <w:noProof/>
              </w:rPr>
              <w:t>Couverture par la détention d’actifs physiques</w:t>
            </w:r>
            <w:r>
              <w:rPr>
                <w:noProof/>
                <w:webHidden/>
              </w:rPr>
              <w:tab/>
            </w:r>
            <w:r>
              <w:rPr>
                <w:noProof/>
                <w:webHidden/>
              </w:rPr>
              <w:fldChar w:fldCharType="begin"/>
            </w:r>
            <w:r>
              <w:rPr>
                <w:noProof/>
                <w:webHidden/>
              </w:rPr>
              <w:instrText xml:space="preserve"> PAGEREF _Toc232094744 \h </w:instrText>
            </w:r>
            <w:r>
              <w:rPr>
                <w:noProof/>
                <w:webHidden/>
              </w:rPr>
            </w:r>
            <w:r>
              <w:rPr>
                <w:noProof/>
                <w:webHidden/>
              </w:rPr>
              <w:fldChar w:fldCharType="separate"/>
            </w:r>
            <w:r>
              <w:rPr>
                <w:noProof/>
                <w:webHidden/>
              </w:rPr>
              <w:t>13</w:t>
            </w:r>
            <w:r>
              <w:rPr>
                <w:noProof/>
                <w:webHidden/>
              </w:rPr>
              <w:fldChar w:fldCharType="end"/>
            </w:r>
          </w:hyperlink>
        </w:p>
        <w:p w14:paraId="0B0AE5E0" w14:textId="6BBC561D" w:rsidR="0038500C" w:rsidRDefault="0038500C">
          <w:pPr>
            <w:pStyle w:val="TM3"/>
            <w:rPr>
              <w:rFonts w:eastAsiaTheme="minorEastAsia"/>
              <w:b w:val="0"/>
              <w:noProof/>
              <w:sz w:val="24"/>
              <w:lang w:eastAsia="fr-FR"/>
            </w:rPr>
          </w:pPr>
          <w:hyperlink w:anchor="_Toc232094745" w:history="1">
            <w:r w:rsidRPr="00C50B04">
              <w:rPr>
                <w:rStyle w:val="Lienhypertexte"/>
                <w:rFonts w:ascii="Arial" w:hAnsi="Arial"/>
                <w:noProof/>
              </w:rPr>
              <w:t>3.2.2.</w:t>
            </w:r>
            <w:r>
              <w:rPr>
                <w:rFonts w:eastAsiaTheme="minorEastAsia"/>
                <w:b w:val="0"/>
                <w:noProof/>
                <w:sz w:val="24"/>
                <w:lang w:eastAsia="fr-FR"/>
              </w:rPr>
              <w:tab/>
            </w:r>
            <w:r w:rsidRPr="00C50B04">
              <w:rPr>
                <w:rStyle w:val="Lienhypertexte"/>
                <w:noProof/>
              </w:rPr>
              <w:t>Couverture par des PPA/BPA (Power/Biomethane Purchase Agreement ou contrats d’achat direct d’électricité/biométhane)</w:t>
            </w:r>
            <w:r>
              <w:rPr>
                <w:noProof/>
                <w:webHidden/>
              </w:rPr>
              <w:tab/>
            </w:r>
            <w:r>
              <w:rPr>
                <w:noProof/>
                <w:webHidden/>
              </w:rPr>
              <w:fldChar w:fldCharType="begin"/>
            </w:r>
            <w:r>
              <w:rPr>
                <w:noProof/>
                <w:webHidden/>
              </w:rPr>
              <w:instrText xml:space="preserve"> PAGEREF _Toc232094745 \h </w:instrText>
            </w:r>
            <w:r>
              <w:rPr>
                <w:noProof/>
                <w:webHidden/>
              </w:rPr>
            </w:r>
            <w:r>
              <w:rPr>
                <w:noProof/>
                <w:webHidden/>
              </w:rPr>
              <w:fldChar w:fldCharType="separate"/>
            </w:r>
            <w:r>
              <w:rPr>
                <w:noProof/>
                <w:webHidden/>
              </w:rPr>
              <w:t>13</w:t>
            </w:r>
            <w:r>
              <w:rPr>
                <w:noProof/>
                <w:webHidden/>
              </w:rPr>
              <w:fldChar w:fldCharType="end"/>
            </w:r>
          </w:hyperlink>
        </w:p>
        <w:p w14:paraId="3C217E65" w14:textId="4DBE9B08" w:rsidR="0038500C" w:rsidRDefault="0038500C">
          <w:pPr>
            <w:pStyle w:val="TM3"/>
            <w:rPr>
              <w:rFonts w:eastAsiaTheme="minorEastAsia"/>
              <w:b w:val="0"/>
              <w:noProof/>
              <w:sz w:val="24"/>
              <w:lang w:eastAsia="fr-FR"/>
            </w:rPr>
          </w:pPr>
          <w:hyperlink w:anchor="_Toc232094746" w:history="1">
            <w:r w:rsidRPr="00C50B04">
              <w:rPr>
                <w:rStyle w:val="Lienhypertexte"/>
                <w:rFonts w:ascii="Arial" w:hAnsi="Arial"/>
                <w:noProof/>
              </w:rPr>
              <w:t>3.2.3.</w:t>
            </w:r>
            <w:r>
              <w:rPr>
                <w:rFonts w:eastAsiaTheme="minorEastAsia"/>
                <w:b w:val="0"/>
                <w:noProof/>
                <w:sz w:val="24"/>
                <w:lang w:eastAsia="fr-FR"/>
              </w:rPr>
              <w:tab/>
            </w:r>
            <w:r w:rsidRPr="00C50B04">
              <w:rPr>
                <w:rStyle w:val="Lienhypertexte"/>
                <w:noProof/>
              </w:rPr>
              <w:t>Autres couvertures sur le marché de gros</w:t>
            </w:r>
            <w:r>
              <w:rPr>
                <w:noProof/>
                <w:webHidden/>
              </w:rPr>
              <w:tab/>
            </w:r>
            <w:r>
              <w:rPr>
                <w:noProof/>
                <w:webHidden/>
              </w:rPr>
              <w:fldChar w:fldCharType="begin"/>
            </w:r>
            <w:r>
              <w:rPr>
                <w:noProof/>
                <w:webHidden/>
              </w:rPr>
              <w:instrText xml:space="preserve"> PAGEREF _Toc232094746 \h </w:instrText>
            </w:r>
            <w:r>
              <w:rPr>
                <w:noProof/>
                <w:webHidden/>
              </w:rPr>
            </w:r>
            <w:r>
              <w:rPr>
                <w:noProof/>
                <w:webHidden/>
              </w:rPr>
              <w:fldChar w:fldCharType="separate"/>
            </w:r>
            <w:r>
              <w:rPr>
                <w:noProof/>
                <w:webHidden/>
              </w:rPr>
              <w:t>14</w:t>
            </w:r>
            <w:r>
              <w:rPr>
                <w:noProof/>
                <w:webHidden/>
              </w:rPr>
              <w:fldChar w:fldCharType="end"/>
            </w:r>
          </w:hyperlink>
        </w:p>
        <w:p w14:paraId="6BFAAF1F" w14:textId="700AFE90" w:rsidR="0038500C" w:rsidRDefault="0038500C">
          <w:pPr>
            <w:pStyle w:val="TM1"/>
            <w:rPr>
              <w:rFonts w:asciiTheme="minorHAnsi" w:eastAsiaTheme="minorEastAsia" w:hAnsiTheme="minorHAnsi" w:cstheme="minorBidi"/>
              <w:b w:val="0"/>
              <w:bCs w:val="0"/>
              <w:iCs w:val="0"/>
              <w:color w:val="auto"/>
              <w:sz w:val="24"/>
              <w:lang w:eastAsia="fr-FR"/>
            </w:rPr>
          </w:pPr>
          <w:hyperlink w:anchor="_Toc232094747" w:history="1">
            <w:r w:rsidRPr="00C50B04">
              <w:rPr>
                <w:rStyle w:val="Lienhypertexte"/>
                <w:rFonts w:ascii="Arial" w:hAnsi="Arial"/>
              </w:rPr>
              <w:t>4.</w:t>
            </w:r>
            <w:r>
              <w:rPr>
                <w:rFonts w:asciiTheme="minorHAnsi" w:eastAsiaTheme="minorEastAsia" w:hAnsiTheme="minorHAnsi" w:cstheme="minorBidi"/>
                <w:b w:val="0"/>
                <w:bCs w:val="0"/>
                <w:iCs w:val="0"/>
                <w:color w:val="auto"/>
                <w:sz w:val="24"/>
                <w:lang w:eastAsia="fr-FR"/>
              </w:rPr>
              <w:tab/>
            </w:r>
            <w:r w:rsidRPr="00C50B04">
              <w:rPr>
                <w:rStyle w:val="Lienhypertexte"/>
              </w:rPr>
              <w:t>Evaluation des capacités financières des fournisseurs</w:t>
            </w:r>
            <w:r>
              <w:rPr>
                <w:webHidden/>
              </w:rPr>
              <w:tab/>
            </w:r>
            <w:r>
              <w:rPr>
                <w:webHidden/>
              </w:rPr>
              <w:fldChar w:fldCharType="begin"/>
            </w:r>
            <w:r>
              <w:rPr>
                <w:webHidden/>
              </w:rPr>
              <w:instrText xml:space="preserve"> PAGEREF _Toc232094747 \h </w:instrText>
            </w:r>
            <w:r>
              <w:rPr>
                <w:webHidden/>
              </w:rPr>
            </w:r>
            <w:r>
              <w:rPr>
                <w:webHidden/>
              </w:rPr>
              <w:fldChar w:fldCharType="separate"/>
            </w:r>
            <w:r>
              <w:rPr>
                <w:webHidden/>
              </w:rPr>
              <w:t>16</w:t>
            </w:r>
            <w:r>
              <w:rPr>
                <w:webHidden/>
              </w:rPr>
              <w:fldChar w:fldCharType="end"/>
            </w:r>
          </w:hyperlink>
        </w:p>
        <w:p w14:paraId="0B1D2E94" w14:textId="2C0462D9" w:rsidR="0038500C" w:rsidRDefault="0038500C">
          <w:pPr>
            <w:pStyle w:val="TM2"/>
            <w:rPr>
              <w:rFonts w:eastAsiaTheme="minorEastAsia"/>
              <w:b w:val="0"/>
              <w:noProof/>
              <w:lang w:eastAsia="fr-FR"/>
            </w:rPr>
          </w:pPr>
          <w:hyperlink w:anchor="_Toc232094748" w:history="1">
            <w:r w:rsidRPr="00C50B04">
              <w:rPr>
                <w:rStyle w:val="Lienhypertexte"/>
                <w:rFonts w:ascii="Arial" w:hAnsi="Arial"/>
                <w:noProof/>
              </w:rPr>
              <w:t>4.1.</w:t>
            </w:r>
            <w:r>
              <w:rPr>
                <w:rFonts w:eastAsiaTheme="minorEastAsia"/>
                <w:b w:val="0"/>
                <w:noProof/>
                <w:lang w:eastAsia="fr-FR"/>
              </w:rPr>
              <w:tab/>
            </w:r>
            <w:r w:rsidRPr="00C50B04">
              <w:rPr>
                <w:rStyle w:val="Lienhypertexte"/>
                <w:noProof/>
              </w:rPr>
              <w:t>Informations comptables et financières collectées</w:t>
            </w:r>
            <w:r>
              <w:rPr>
                <w:noProof/>
                <w:webHidden/>
              </w:rPr>
              <w:tab/>
            </w:r>
            <w:r>
              <w:rPr>
                <w:noProof/>
                <w:webHidden/>
              </w:rPr>
              <w:fldChar w:fldCharType="begin"/>
            </w:r>
            <w:r>
              <w:rPr>
                <w:noProof/>
                <w:webHidden/>
              </w:rPr>
              <w:instrText xml:space="preserve"> PAGEREF _Toc232094748 \h </w:instrText>
            </w:r>
            <w:r>
              <w:rPr>
                <w:noProof/>
                <w:webHidden/>
              </w:rPr>
            </w:r>
            <w:r>
              <w:rPr>
                <w:noProof/>
                <w:webHidden/>
              </w:rPr>
              <w:fldChar w:fldCharType="separate"/>
            </w:r>
            <w:r>
              <w:rPr>
                <w:noProof/>
                <w:webHidden/>
              </w:rPr>
              <w:t>16</w:t>
            </w:r>
            <w:r>
              <w:rPr>
                <w:noProof/>
                <w:webHidden/>
              </w:rPr>
              <w:fldChar w:fldCharType="end"/>
            </w:r>
          </w:hyperlink>
        </w:p>
        <w:p w14:paraId="7990900C" w14:textId="1F91B978" w:rsidR="0038500C" w:rsidRDefault="0038500C">
          <w:pPr>
            <w:pStyle w:val="TM2"/>
            <w:rPr>
              <w:rFonts w:eastAsiaTheme="minorEastAsia"/>
              <w:b w:val="0"/>
              <w:noProof/>
              <w:lang w:eastAsia="fr-FR"/>
            </w:rPr>
          </w:pPr>
          <w:hyperlink w:anchor="_Toc232094749" w:history="1">
            <w:r w:rsidRPr="00C50B04">
              <w:rPr>
                <w:rStyle w:val="Lienhypertexte"/>
                <w:rFonts w:ascii="Arial" w:hAnsi="Arial"/>
                <w:noProof/>
              </w:rPr>
              <w:t>4.2.</w:t>
            </w:r>
            <w:r>
              <w:rPr>
                <w:rFonts w:eastAsiaTheme="minorEastAsia"/>
                <w:b w:val="0"/>
                <w:noProof/>
                <w:lang w:eastAsia="fr-FR"/>
              </w:rPr>
              <w:tab/>
            </w:r>
            <w:r w:rsidRPr="00C50B04">
              <w:rPr>
                <w:rStyle w:val="Lienhypertexte"/>
                <w:noProof/>
              </w:rPr>
              <w:t>Notation financière</w:t>
            </w:r>
            <w:r>
              <w:rPr>
                <w:noProof/>
                <w:webHidden/>
              </w:rPr>
              <w:tab/>
            </w:r>
            <w:r>
              <w:rPr>
                <w:noProof/>
                <w:webHidden/>
              </w:rPr>
              <w:fldChar w:fldCharType="begin"/>
            </w:r>
            <w:r>
              <w:rPr>
                <w:noProof/>
                <w:webHidden/>
              </w:rPr>
              <w:instrText xml:space="preserve"> PAGEREF _Toc232094749 \h </w:instrText>
            </w:r>
            <w:r>
              <w:rPr>
                <w:noProof/>
                <w:webHidden/>
              </w:rPr>
            </w:r>
            <w:r>
              <w:rPr>
                <w:noProof/>
                <w:webHidden/>
              </w:rPr>
              <w:fldChar w:fldCharType="separate"/>
            </w:r>
            <w:r>
              <w:rPr>
                <w:noProof/>
                <w:webHidden/>
              </w:rPr>
              <w:t>17</w:t>
            </w:r>
            <w:r>
              <w:rPr>
                <w:noProof/>
                <w:webHidden/>
              </w:rPr>
              <w:fldChar w:fldCharType="end"/>
            </w:r>
          </w:hyperlink>
        </w:p>
        <w:p w14:paraId="39F3039C" w14:textId="6D55E85C" w:rsidR="0038500C" w:rsidRDefault="0038500C">
          <w:pPr>
            <w:pStyle w:val="TM3"/>
            <w:rPr>
              <w:rFonts w:eastAsiaTheme="minorEastAsia"/>
              <w:b w:val="0"/>
              <w:noProof/>
              <w:sz w:val="24"/>
              <w:lang w:eastAsia="fr-FR"/>
            </w:rPr>
          </w:pPr>
          <w:hyperlink w:anchor="_Toc232094750" w:history="1">
            <w:r w:rsidRPr="00C50B04">
              <w:rPr>
                <w:rStyle w:val="Lienhypertexte"/>
                <w:rFonts w:ascii="Arial" w:hAnsi="Arial"/>
                <w:noProof/>
              </w:rPr>
              <w:t>4.2.1.</w:t>
            </w:r>
            <w:r>
              <w:rPr>
                <w:rFonts w:eastAsiaTheme="minorEastAsia"/>
                <w:b w:val="0"/>
                <w:noProof/>
                <w:sz w:val="24"/>
                <w:lang w:eastAsia="fr-FR"/>
              </w:rPr>
              <w:tab/>
            </w:r>
            <w:r w:rsidRPr="00C50B04">
              <w:rPr>
                <w:rStyle w:val="Lienhypertexte"/>
                <w:noProof/>
              </w:rPr>
              <w:t>Provenance des notations financières</w:t>
            </w:r>
            <w:r>
              <w:rPr>
                <w:noProof/>
                <w:webHidden/>
              </w:rPr>
              <w:tab/>
            </w:r>
            <w:r>
              <w:rPr>
                <w:noProof/>
                <w:webHidden/>
              </w:rPr>
              <w:fldChar w:fldCharType="begin"/>
            </w:r>
            <w:r>
              <w:rPr>
                <w:noProof/>
                <w:webHidden/>
              </w:rPr>
              <w:instrText xml:space="preserve"> PAGEREF _Toc232094750 \h </w:instrText>
            </w:r>
            <w:r>
              <w:rPr>
                <w:noProof/>
                <w:webHidden/>
              </w:rPr>
            </w:r>
            <w:r>
              <w:rPr>
                <w:noProof/>
                <w:webHidden/>
              </w:rPr>
              <w:fldChar w:fldCharType="separate"/>
            </w:r>
            <w:r>
              <w:rPr>
                <w:noProof/>
                <w:webHidden/>
              </w:rPr>
              <w:t>17</w:t>
            </w:r>
            <w:r>
              <w:rPr>
                <w:noProof/>
                <w:webHidden/>
              </w:rPr>
              <w:fldChar w:fldCharType="end"/>
            </w:r>
          </w:hyperlink>
        </w:p>
        <w:p w14:paraId="3ADE5D33" w14:textId="4615AB0D" w:rsidR="0038500C" w:rsidRDefault="0038500C">
          <w:pPr>
            <w:pStyle w:val="TM3"/>
            <w:rPr>
              <w:rFonts w:eastAsiaTheme="minorEastAsia"/>
              <w:b w:val="0"/>
              <w:noProof/>
              <w:sz w:val="24"/>
              <w:lang w:eastAsia="fr-FR"/>
            </w:rPr>
          </w:pPr>
          <w:hyperlink w:anchor="_Toc232094751" w:history="1">
            <w:r w:rsidRPr="00C50B04">
              <w:rPr>
                <w:rStyle w:val="Lienhypertexte"/>
                <w:rFonts w:ascii="Arial" w:hAnsi="Arial"/>
                <w:noProof/>
              </w:rPr>
              <w:t>4.2.2.</w:t>
            </w:r>
            <w:r>
              <w:rPr>
                <w:rFonts w:eastAsiaTheme="minorEastAsia"/>
                <w:b w:val="0"/>
                <w:noProof/>
                <w:sz w:val="24"/>
                <w:lang w:eastAsia="fr-FR"/>
              </w:rPr>
              <w:tab/>
            </w:r>
            <w:r w:rsidRPr="00C50B04">
              <w:rPr>
                <w:rStyle w:val="Lienhypertexte"/>
                <w:noProof/>
              </w:rPr>
              <w:t>Critère seuil</w:t>
            </w:r>
            <w:r>
              <w:rPr>
                <w:noProof/>
                <w:webHidden/>
              </w:rPr>
              <w:tab/>
            </w:r>
            <w:r>
              <w:rPr>
                <w:noProof/>
                <w:webHidden/>
              </w:rPr>
              <w:fldChar w:fldCharType="begin"/>
            </w:r>
            <w:r>
              <w:rPr>
                <w:noProof/>
                <w:webHidden/>
              </w:rPr>
              <w:instrText xml:space="preserve"> PAGEREF _Toc232094751 \h </w:instrText>
            </w:r>
            <w:r>
              <w:rPr>
                <w:noProof/>
                <w:webHidden/>
              </w:rPr>
            </w:r>
            <w:r>
              <w:rPr>
                <w:noProof/>
                <w:webHidden/>
              </w:rPr>
              <w:fldChar w:fldCharType="separate"/>
            </w:r>
            <w:r>
              <w:rPr>
                <w:noProof/>
                <w:webHidden/>
              </w:rPr>
              <w:t>17</w:t>
            </w:r>
            <w:r>
              <w:rPr>
                <w:noProof/>
                <w:webHidden/>
              </w:rPr>
              <w:fldChar w:fldCharType="end"/>
            </w:r>
          </w:hyperlink>
        </w:p>
        <w:p w14:paraId="7FAA4C15" w14:textId="3C2F6EF1" w:rsidR="0038500C" w:rsidRDefault="0038500C">
          <w:pPr>
            <w:pStyle w:val="TM2"/>
            <w:rPr>
              <w:rFonts w:eastAsiaTheme="minorEastAsia"/>
              <w:b w:val="0"/>
              <w:noProof/>
              <w:lang w:eastAsia="fr-FR"/>
            </w:rPr>
          </w:pPr>
          <w:hyperlink w:anchor="_Toc232094752" w:history="1">
            <w:r w:rsidRPr="00C50B04">
              <w:rPr>
                <w:rStyle w:val="Lienhypertexte"/>
                <w:rFonts w:ascii="Arial" w:hAnsi="Arial"/>
                <w:noProof/>
              </w:rPr>
              <w:t>4.3.</w:t>
            </w:r>
            <w:r>
              <w:rPr>
                <w:rFonts w:eastAsiaTheme="minorEastAsia"/>
                <w:b w:val="0"/>
                <w:noProof/>
                <w:lang w:eastAsia="fr-FR"/>
              </w:rPr>
              <w:tab/>
            </w:r>
            <w:r w:rsidRPr="00C50B04">
              <w:rPr>
                <w:rStyle w:val="Lienhypertexte"/>
                <w:noProof/>
              </w:rPr>
              <w:t>Modalités du test financier simplifié</w:t>
            </w:r>
            <w:r>
              <w:rPr>
                <w:noProof/>
                <w:webHidden/>
              </w:rPr>
              <w:tab/>
            </w:r>
            <w:r>
              <w:rPr>
                <w:noProof/>
                <w:webHidden/>
              </w:rPr>
              <w:fldChar w:fldCharType="begin"/>
            </w:r>
            <w:r>
              <w:rPr>
                <w:noProof/>
                <w:webHidden/>
              </w:rPr>
              <w:instrText xml:space="preserve"> PAGEREF _Toc232094752 \h </w:instrText>
            </w:r>
            <w:r>
              <w:rPr>
                <w:noProof/>
                <w:webHidden/>
              </w:rPr>
            </w:r>
            <w:r>
              <w:rPr>
                <w:noProof/>
                <w:webHidden/>
              </w:rPr>
              <w:fldChar w:fldCharType="separate"/>
            </w:r>
            <w:r>
              <w:rPr>
                <w:noProof/>
                <w:webHidden/>
              </w:rPr>
              <w:t>18</w:t>
            </w:r>
            <w:r>
              <w:rPr>
                <w:noProof/>
                <w:webHidden/>
              </w:rPr>
              <w:fldChar w:fldCharType="end"/>
            </w:r>
          </w:hyperlink>
        </w:p>
        <w:p w14:paraId="4335CAAC" w14:textId="198135CD" w:rsidR="0038500C" w:rsidRDefault="0038500C">
          <w:pPr>
            <w:pStyle w:val="TM3"/>
            <w:rPr>
              <w:rFonts w:eastAsiaTheme="minorEastAsia"/>
              <w:b w:val="0"/>
              <w:noProof/>
              <w:sz w:val="24"/>
              <w:lang w:eastAsia="fr-FR"/>
            </w:rPr>
          </w:pPr>
          <w:hyperlink w:anchor="_Toc232094753" w:history="1">
            <w:r w:rsidRPr="00C50B04">
              <w:rPr>
                <w:rStyle w:val="Lienhypertexte"/>
                <w:rFonts w:ascii="Arial" w:hAnsi="Arial"/>
                <w:noProof/>
              </w:rPr>
              <w:t>4.3.1.</w:t>
            </w:r>
            <w:r>
              <w:rPr>
                <w:rFonts w:eastAsiaTheme="minorEastAsia"/>
                <w:b w:val="0"/>
                <w:noProof/>
                <w:sz w:val="24"/>
                <w:lang w:eastAsia="fr-FR"/>
              </w:rPr>
              <w:tab/>
            </w:r>
            <w:r w:rsidRPr="00C50B04">
              <w:rPr>
                <w:rStyle w:val="Lienhypertexte"/>
                <w:noProof/>
              </w:rPr>
              <w:t>Principes généraux</w:t>
            </w:r>
            <w:r>
              <w:rPr>
                <w:noProof/>
                <w:webHidden/>
              </w:rPr>
              <w:tab/>
            </w:r>
            <w:r>
              <w:rPr>
                <w:noProof/>
                <w:webHidden/>
              </w:rPr>
              <w:fldChar w:fldCharType="begin"/>
            </w:r>
            <w:r>
              <w:rPr>
                <w:noProof/>
                <w:webHidden/>
              </w:rPr>
              <w:instrText xml:space="preserve"> PAGEREF _Toc232094753 \h </w:instrText>
            </w:r>
            <w:r>
              <w:rPr>
                <w:noProof/>
                <w:webHidden/>
              </w:rPr>
            </w:r>
            <w:r>
              <w:rPr>
                <w:noProof/>
                <w:webHidden/>
              </w:rPr>
              <w:fldChar w:fldCharType="separate"/>
            </w:r>
            <w:r>
              <w:rPr>
                <w:noProof/>
                <w:webHidden/>
              </w:rPr>
              <w:t>18</w:t>
            </w:r>
            <w:r>
              <w:rPr>
                <w:noProof/>
                <w:webHidden/>
              </w:rPr>
              <w:fldChar w:fldCharType="end"/>
            </w:r>
          </w:hyperlink>
        </w:p>
        <w:p w14:paraId="01AD0ADF" w14:textId="6574C086" w:rsidR="0038500C" w:rsidRDefault="0038500C">
          <w:pPr>
            <w:pStyle w:val="TM3"/>
            <w:rPr>
              <w:rFonts w:eastAsiaTheme="minorEastAsia"/>
              <w:b w:val="0"/>
              <w:noProof/>
              <w:sz w:val="24"/>
              <w:lang w:eastAsia="fr-FR"/>
            </w:rPr>
          </w:pPr>
          <w:hyperlink w:anchor="_Toc232094754" w:history="1">
            <w:r w:rsidRPr="00C50B04">
              <w:rPr>
                <w:rStyle w:val="Lienhypertexte"/>
                <w:rFonts w:ascii="Arial" w:hAnsi="Arial"/>
                <w:noProof/>
              </w:rPr>
              <w:t>4.3.2.</w:t>
            </w:r>
            <w:r>
              <w:rPr>
                <w:rFonts w:eastAsiaTheme="minorEastAsia"/>
                <w:b w:val="0"/>
                <w:noProof/>
                <w:sz w:val="24"/>
                <w:lang w:eastAsia="fr-FR"/>
              </w:rPr>
              <w:tab/>
            </w:r>
            <w:r w:rsidRPr="00C50B04">
              <w:rPr>
                <w:rStyle w:val="Lienhypertexte"/>
                <w:noProof/>
              </w:rPr>
              <w:t xml:space="preserve">Valeur à </w:t>
            </w:r>
            <w:r w:rsidRPr="00C50B04">
              <w:rPr>
                <w:rStyle w:val="Lienhypertexte"/>
                <w:bCs/>
                <w:noProof/>
              </w:rPr>
              <w:t>risque</w:t>
            </w:r>
            <w:r>
              <w:rPr>
                <w:noProof/>
                <w:webHidden/>
              </w:rPr>
              <w:tab/>
            </w:r>
            <w:r>
              <w:rPr>
                <w:noProof/>
                <w:webHidden/>
              </w:rPr>
              <w:fldChar w:fldCharType="begin"/>
            </w:r>
            <w:r>
              <w:rPr>
                <w:noProof/>
                <w:webHidden/>
              </w:rPr>
              <w:instrText xml:space="preserve"> PAGEREF _Toc232094754 \h </w:instrText>
            </w:r>
            <w:r>
              <w:rPr>
                <w:noProof/>
                <w:webHidden/>
              </w:rPr>
            </w:r>
            <w:r>
              <w:rPr>
                <w:noProof/>
                <w:webHidden/>
              </w:rPr>
              <w:fldChar w:fldCharType="separate"/>
            </w:r>
            <w:r>
              <w:rPr>
                <w:noProof/>
                <w:webHidden/>
              </w:rPr>
              <w:t>18</w:t>
            </w:r>
            <w:r>
              <w:rPr>
                <w:noProof/>
                <w:webHidden/>
              </w:rPr>
              <w:fldChar w:fldCharType="end"/>
            </w:r>
          </w:hyperlink>
        </w:p>
        <w:p w14:paraId="6686AD14" w14:textId="74E9E992" w:rsidR="0038500C" w:rsidRDefault="0038500C">
          <w:pPr>
            <w:pStyle w:val="TM3"/>
            <w:rPr>
              <w:rFonts w:eastAsiaTheme="minorEastAsia"/>
              <w:b w:val="0"/>
              <w:noProof/>
              <w:sz w:val="24"/>
              <w:lang w:eastAsia="fr-FR"/>
            </w:rPr>
          </w:pPr>
          <w:hyperlink w:anchor="_Toc232094755" w:history="1">
            <w:r w:rsidRPr="00C50B04">
              <w:rPr>
                <w:rStyle w:val="Lienhypertexte"/>
                <w:rFonts w:ascii="Arial" w:hAnsi="Arial"/>
                <w:noProof/>
              </w:rPr>
              <w:t>4.3.3.</w:t>
            </w:r>
            <w:r>
              <w:rPr>
                <w:rFonts w:eastAsiaTheme="minorEastAsia"/>
                <w:b w:val="0"/>
                <w:noProof/>
                <w:sz w:val="24"/>
                <w:lang w:eastAsia="fr-FR"/>
              </w:rPr>
              <w:tab/>
            </w:r>
            <w:r w:rsidRPr="00C50B04">
              <w:rPr>
                <w:rStyle w:val="Lienhypertexte"/>
                <w:noProof/>
              </w:rPr>
              <w:t>Métriques de capacité financière</w:t>
            </w:r>
            <w:r>
              <w:rPr>
                <w:noProof/>
                <w:webHidden/>
              </w:rPr>
              <w:tab/>
            </w:r>
            <w:r>
              <w:rPr>
                <w:noProof/>
                <w:webHidden/>
              </w:rPr>
              <w:fldChar w:fldCharType="begin"/>
            </w:r>
            <w:r>
              <w:rPr>
                <w:noProof/>
                <w:webHidden/>
              </w:rPr>
              <w:instrText xml:space="preserve"> PAGEREF _Toc232094755 \h </w:instrText>
            </w:r>
            <w:r>
              <w:rPr>
                <w:noProof/>
                <w:webHidden/>
              </w:rPr>
            </w:r>
            <w:r>
              <w:rPr>
                <w:noProof/>
                <w:webHidden/>
              </w:rPr>
              <w:fldChar w:fldCharType="separate"/>
            </w:r>
            <w:r>
              <w:rPr>
                <w:noProof/>
                <w:webHidden/>
              </w:rPr>
              <w:t>18</w:t>
            </w:r>
            <w:r>
              <w:rPr>
                <w:noProof/>
                <w:webHidden/>
              </w:rPr>
              <w:fldChar w:fldCharType="end"/>
            </w:r>
          </w:hyperlink>
        </w:p>
        <w:p w14:paraId="57AACE94" w14:textId="75F79FBC" w:rsidR="0038500C" w:rsidRDefault="0038500C">
          <w:pPr>
            <w:pStyle w:val="TM3"/>
            <w:rPr>
              <w:rFonts w:eastAsiaTheme="minorEastAsia"/>
              <w:b w:val="0"/>
              <w:noProof/>
              <w:sz w:val="24"/>
              <w:lang w:eastAsia="fr-FR"/>
            </w:rPr>
          </w:pPr>
          <w:hyperlink w:anchor="_Toc232094756" w:history="1">
            <w:r w:rsidRPr="00C50B04">
              <w:rPr>
                <w:rStyle w:val="Lienhypertexte"/>
                <w:rFonts w:ascii="Arial" w:hAnsi="Arial"/>
                <w:bCs/>
                <w:noProof/>
              </w:rPr>
              <w:t>4.3.4.</w:t>
            </w:r>
            <w:r>
              <w:rPr>
                <w:rFonts w:eastAsiaTheme="minorEastAsia"/>
                <w:b w:val="0"/>
                <w:noProof/>
                <w:sz w:val="24"/>
                <w:lang w:eastAsia="fr-FR"/>
              </w:rPr>
              <w:tab/>
            </w:r>
            <w:r w:rsidRPr="00C50B04">
              <w:rPr>
                <w:rStyle w:val="Lienhypertexte"/>
                <w:noProof/>
              </w:rPr>
              <w:t xml:space="preserve">Critères </w:t>
            </w:r>
            <w:r w:rsidRPr="00C50B04">
              <w:rPr>
                <w:rStyle w:val="Lienhypertexte"/>
                <w:bCs/>
                <w:noProof/>
              </w:rPr>
              <w:t>du test</w:t>
            </w:r>
            <w:r>
              <w:rPr>
                <w:noProof/>
                <w:webHidden/>
              </w:rPr>
              <w:tab/>
            </w:r>
            <w:r>
              <w:rPr>
                <w:noProof/>
                <w:webHidden/>
              </w:rPr>
              <w:fldChar w:fldCharType="begin"/>
            </w:r>
            <w:r>
              <w:rPr>
                <w:noProof/>
                <w:webHidden/>
              </w:rPr>
              <w:instrText xml:space="preserve"> PAGEREF _Toc232094756 \h </w:instrText>
            </w:r>
            <w:r>
              <w:rPr>
                <w:noProof/>
                <w:webHidden/>
              </w:rPr>
            </w:r>
            <w:r>
              <w:rPr>
                <w:noProof/>
                <w:webHidden/>
              </w:rPr>
              <w:fldChar w:fldCharType="separate"/>
            </w:r>
            <w:r>
              <w:rPr>
                <w:noProof/>
                <w:webHidden/>
              </w:rPr>
              <w:t>18</w:t>
            </w:r>
            <w:r>
              <w:rPr>
                <w:noProof/>
                <w:webHidden/>
              </w:rPr>
              <w:fldChar w:fldCharType="end"/>
            </w:r>
          </w:hyperlink>
        </w:p>
        <w:p w14:paraId="4EC3ED57" w14:textId="266EB30B" w:rsidR="0038500C" w:rsidRDefault="0038500C">
          <w:pPr>
            <w:pStyle w:val="TM2"/>
            <w:rPr>
              <w:rFonts w:eastAsiaTheme="minorEastAsia"/>
              <w:b w:val="0"/>
              <w:noProof/>
              <w:lang w:eastAsia="fr-FR"/>
            </w:rPr>
          </w:pPr>
          <w:hyperlink w:anchor="_Toc232094757" w:history="1">
            <w:r w:rsidRPr="00C50B04">
              <w:rPr>
                <w:rStyle w:val="Lienhypertexte"/>
                <w:rFonts w:ascii="Arial" w:hAnsi="Arial"/>
                <w:noProof/>
              </w:rPr>
              <w:t>4.4.</w:t>
            </w:r>
            <w:r>
              <w:rPr>
                <w:rFonts w:eastAsiaTheme="minorEastAsia"/>
                <w:b w:val="0"/>
                <w:noProof/>
                <w:lang w:eastAsia="fr-FR"/>
              </w:rPr>
              <w:tab/>
            </w:r>
            <w:r w:rsidRPr="00C50B04">
              <w:rPr>
                <w:rStyle w:val="Lienhypertexte"/>
                <w:noProof/>
              </w:rPr>
              <w:t>Modalités du test financier approfondi</w:t>
            </w:r>
            <w:r>
              <w:rPr>
                <w:noProof/>
                <w:webHidden/>
              </w:rPr>
              <w:tab/>
            </w:r>
            <w:r>
              <w:rPr>
                <w:noProof/>
                <w:webHidden/>
              </w:rPr>
              <w:fldChar w:fldCharType="begin"/>
            </w:r>
            <w:r>
              <w:rPr>
                <w:noProof/>
                <w:webHidden/>
              </w:rPr>
              <w:instrText xml:space="preserve"> PAGEREF _Toc232094757 \h </w:instrText>
            </w:r>
            <w:r>
              <w:rPr>
                <w:noProof/>
                <w:webHidden/>
              </w:rPr>
            </w:r>
            <w:r>
              <w:rPr>
                <w:noProof/>
                <w:webHidden/>
              </w:rPr>
              <w:fldChar w:fldCharType="separate"/>
            </w:r>
            <w:r>
              <w:rPr>
                <w:noProof/>
                <w:webHidden/>
              </w:rPr>
              <w:t>19</w:t>
            </w:r>
            <w:r>
              <w:rPr>
                <w:noProof/>
                <w:webHidden/>
              </w:rPr>
              <w:fldChar w:fldCharType="end"/>
            </w:r>
          </w:hyperlink>
        </w:p>
        <w:p w14:paraId="4D74F9D2" w14:textId="09AD394E" w:rsidR="0038500C" w:rsidRDefault="0038500C">
          <w:pPr>
            <w:pStyle w:val="TM3"/>
            <w:rPr>
              <w:rFonts w:eastAsiaTheme="minorEastAsia"/>
              <w:b w:val="0"/>
              <w:noProof/>
              <w:sz w:val="24"/>
              <w:lang w:eastAsia="fr-FR"/>
            </w:rPr>
          </w:pPr>
          <w:hyperlink w:anchor="_Toc232094758" w:history="1">
            <w:r w:rsidRPr="00C50B04">
              <w:rPr>
                <w:rStyle w:val="Lienhypertexte"/>
                <w:rFonts w:ascii="Arial" w:hAnsi="Arial"/>
                <w:noProof/>
              </w:rPr>
              <w:t>4.4.1.</w:t>
            </w:r>
            <w:r>
              <w:rPr>
                <w:rFonts w:eastAsiaTheme="minorEastAsia"/>
                <w:b w:val="0"/>
                <w:noProof/>
                <w:sz w:val="24"/>
                <w:lang w:eastAsia="fr-FR"/>
              </w:rPr>
              <w:tab/>
            </w:r>
            <w:r w:rsidRPr="00C50B04">
              <w:rPr>
                <w:rStyle w:val="Lienhypertexte"/>
                <w:noProof/>
              </w:rPr>
              <w:t>Principes généraux</w:t>
            </w:r>
            <w:r>
              <w:rPr>
                <w:noProof/>
                <w:webHidden/>
              </w:rPr>
              <w:tab/>
            </w:r>
            <w:r>
              <w:rPr>
                <w:noProof/>
                <w:webHidden/>
              </w:rPr>
              <w:fldChar w:fldCharType="begin"/>
            </w:r>
            <w:r>
              <w:rPr>
                <w:noProof/>
                <w:webHidden/>
              </w:rPr>
              <w:instrText xml:space="preserve"> PAGEREF _Toc232094758 \h </w:instrText>
            </w:r>
            <w:r>
              <w:rPr>
                <w:noProof/>
                <w:webHidden/>
              </w:rPr>
            </w:r>
            <w:r>
              <w:rPr>
                <w:noProof/>
                <w:webHidden/>
              </w:rPr>
              <w:fldChar w:fldCharType="separate"/>
            </w:r>
            <w:r>
              <w:rPr>
                <w:noProof/>
                <w:webHidden/>
              </w:rPr>
              <w:t>19</w:t>
            </w:r>
            <w:r>
              <w:rPr>
                <w:noProof/>
                <w:webHidden/>
              </w:rPr>
              <w:fldChar w:fldCharType="end"/>
            </w:r>
          </w:hyperlink>
        </w:p>
        <w:p w14:paraId="1BA0D79D" w14:textId="17EFD149" w:rsidR="0038500C" w:rsidRDefault="0038500C">
          <w:pPr>
            <w:pStyle w:val="TM3"/>
            <w:rPr>
              <w:rFonts w:eastAsiaTheme="minorEastAsia"/>
              <w:b w:val="0"/>
              <w:noProof/>
              <w:sz w:val="24"/>
              <w:lang w:eastAsia="fr-FR"/>
            </w:rPr>
          </w:pPr>
          <w:hyperlink w:anchor="_Toc232094759" w:history="1">
            <w:r w:rsidRPr="00C50B04">
              <w:rPr>
                <w:rStyle w:val="Lienhypertexte"/>
                <w:rFonts w:ascii="Arial" w:hAnsi="Arial"/>
                <w:noProof/>
              </w:rPr>
              <w:t>4.4.2.</w:t>
            </w:r>
            <w:r>
              <w:rPr>
                <w:rFonts w:eastAsiaTheme="minorEastAsia"/>
                <w:b w:val="0"/>
                <w:noProof/>
                <w:sz w:val="24"/>
                <w:lang w:eastAsia="fr-FR"/>
              </w:rPr>
              <w:tab/>
            </w:r>
            <w:r w:rsidRPr="00C50B04">
              <w:rPr>
                <w:rStyle w:val="Lienhypertexte"/>
                <w:noProof/>
              </w:rPr>
              <w:t>Scénarios à tester</w:t>
            </w:r>
            <w:r>
              <w:rPr>
                <w:noProof/>
                <w:webHidden/>
              </w:rPr>
              <w:tab/>
            </w:r>
            <w:r>
              <w:rPr>
                <w:noProof/>
                <w:webHidden/>
              </w:rPr>
              <w:fldChar w:fldCharType="begin"/>
            </w:r>
            <w:r>
              <w:rPr>
                <w:noProof/>
                <w:webHidden/>
              </w:rPr>
              <w:instrText xml:space="preserve"> PAGEREF _Toc232094759 \h </w:instrText>
            </w:r>
            <w:r>
              <w:rPr>
                <w:noProof/>
                <w:webHidden/>
              </w:rPr>
            </w:r>
            <w:r>
              <w:rPr>
                <w:noProof/>
                <w:webHidden/>
              </w:rPr>
              <w:fldChar w:fldCharType="separate"/>
            </w:r>
            <w:r>
              <w:rPr>
                <w:noProof/>
                <w:webHidden/>
              </w:rPr>
              <w:t>19</w:t>
            </w:r>
            <w:r>
              <w:rPr>
                <w:noProof/>
                <w:webHidden/>
              </w:rPr>
              <w:fldChar w:fldCharType="end"/>
            </w:r>
          </w:hyperlink>
        </w:p>
        <w:p w14:paraId="047C7236" w14:textId="3D4B5008" w:rsidR="0038500C" w:rsidRDefault="0038500C">
          <w:pPr>
            <w:pStyle w:val="TM3"/>
            <w:rPr>
              <w:rFonts w:eastAsiaTheme="minorEastAsia"/>
              <w:b w:val="0"/>
              <w:noProof/>
              <w:sz w:val="24"/>
              <w:lang w:eastAsia="fr-FR"/>
            </w:rPr>
          </w:pPr>
          <w:hyperlink w:anchor="_Toc232094760" w:history="1">
            <w:r w:rsidRPr="00C50B04">
              <w:rPr>
                <w:rStyle w:val="Lienhypertexte"/>
                <w:rFonts w:ascii="Arial" w:hAnsi="Arial"/>
                <w:noProof/>
              </w:rPr>
              <w:t>4.4.3.</w:t>
            </w:r>
            <w:r>
              <w:rPr>
                <w:rFonts w:eastAsiaTheme="minorEastAsia"/>
                <w:b w:val="0"/>
                <w:noProof/>
                <w:sz w:val="24"/>
                <w:lang w:eastAsia="fr-FR"/>
              </w:rPr>
              <w:tab/>
            </w:r>
            <w:r w:rsidRPr="00C50B04">
              <w:rPr>
                <w:rStyle w:val="Lienhypertexte"/>
                <w:noProof/>
              </w:rPr>
              <w:t>Critères du test</w:t>
            </w:r>
            <w:r>
              <w:rPr>
                <w:noProof/>
                <w:webHidden/>
              </w:rPr>
              <w:tab/>
            </w:r>
            <w:r>
              <w:rPr>
                <w:noProof/>
                <w:webHidden/>
              </w:rPr>
              <w:fldChar w:fldCharType="begin"/>
            </w:r>
            <w:r>
              <w:rPr>
                <w:noProof/>
                <w:webHidden/>
              </w:rPr>
              <w:instrText xml:space="preserve"> PAGEREF _Toc232094760 \h </w:instrText>
            </w:r>
            <w:r>
              <w:rPr>
                <w:noProof/>
                <w:webHidden/>
              </w:rPr>
            </w:r>
            <w:r>
              <w:rPr>
                <w:noProof/>
                <w:webHidden/>
              </w:rPr>
              <w:fldChar w:fldCharType="separate"/>
            </w:r>
            <w:r>
              <w:rPr>
                <w:noProof/>
                <w:webHidden/>
              </w:rPr>
              <w:t>20</w:t>
            </w:r>
            <w:r>
              <w:rPr>
                <w:noProof/>
                <w:webHidden/>
              </w:rPr>
              <w:fldChar w:fldCharType="end"/>
            </w:r>
          </w:hyperlink>
        </w:p>
        <w:p w14:paraId="353642BB" w14:textId="6FE4558E" w:rsidR="0038500C" w:rsidRDefault="0038500C">
          <w:pPr>
            <w:pStyle w:val="TM1"/>
            <w:rPr>
              <w:rFonts w:asciiTheme="minorHAnsi" w:eastAsiaTheme="minorEastAsia" w:hAnsiTheme="minorHAnsi" w:cstheme="minorBidi"/>
              <w:b w:val="0"/>
              <w:bCs w:val="0"/>
              <w:iCs w:val="0"/>
              <w:color w:val="auto"/>
              <w:sz w:val="24"/>
              <w:lang w:eastAsia="fr-FR"/>
            </w:rPr>
          </w:pPr>
          <w:hyperlink w:anchor="_Toc232094761" w:history="1">
            <w:r w:rsidRPr="00C50B04">
              <w:rPr>
                <w:rStyle w:val="Lienhypertexte"/>
                <w:rFonts w:ascii="Arial" w:hAnsi="Arial"/>
              </w:rPr>
              <w:t>5.</w:t>
            </w:r>
            <w:r>
              <w:rPr>
                <w:rFonts w:asciiTheme="minorHAnsi" w:eastAsiaTheme="minorEastAsia" w:hAnsiTheme="minorHAnsi" w:cstheme="minorBidi"/>
                <w:b w:val="0"/>
                <w:bCs w:val="0"/>
                <w:iCs w:val="0"/>
                <w:color w:val="auto"/>
                <w:sz w:val="24"/>
                <w:lang w:eastAsia="fr-FR"/>
              </w:rPr>
              <w:tab/>
            </w:r>
            <w:r w:rsidRPr="00C50B04">
              <w:rPr>
                <w:rStyle w:val="Lienhypertexte"/>
              </w:rPr>
              <w:t>Suivi de la politique de gestion des risques et de la gouvernance</w:t>
            </w:r>
            <w:r>
              <w:rPr>
                <w:webHidden/>
              </w:rPr>
              <w:tab/>
            </w:r>
            <w:r>
              <w:rPr>
                <w:webHidden/>
              </w:rPr>
              <w:fldChar w:fldCharType="begin"/>
            </w:r>
            <w:r>
              <w:rPr>
                <w:webHidden/>
              </w:rPr>
              <w:instrText xml:space="preserve"> PAGEREF _Toc232094761 \h </w:instrText>
            </w:r>
            <w:r>
              <w:rPr>
                <w:webHidden/>
              </w:rPr>
            </w:r>
            <w:r>
              <w:rPr>
                <w:webHidden/>
              </w:rPr>
              <w:fldChar w:fldCharType="separate"/>
            </w:r>
            <w:r>
              <w:rPr>
                <w:webHidden/>
              </w:rPr>
              <w:t>21</w:t>
            </w:r>
            <w:r>
              <w:rPr>
                <w:webHidden/>
              </w:rPr>
              <w:fldChar w:fldCharType="end"/>
            </w:r>
          </w:hyperlink>
        </w:p>
        <w:p w14:paraId="7DAAD3DA" w14:textId="63CC2F2A" w:rsidR="0038500C" w:rsidRDefault="0038500C">
          <w:pPr>
            <w:pStyle w:val="TM2"/>
            <w:rPr>
              <w:rFonts w:eastAsiaTheme="minorEastAsia"/>
              <w:b w:val="0"/>
              <w:noProof/>
              <w:lang w:eastAsia="fr-FR"/>
            </w:rPr>
          </w:pPr>
          <w:hyperlink w:anchor="_Toc232094762" w:history="1">
            <w:r w:rsidRPr="00C50B04">
              <w:rPr>
                <w:rStyle w:val="Lienhypertexte"/>
                <w:rFonts w:ascii="Arial" w:hAnsi="Arial"/>
                <w:noProof/>
              </w:rPr>
              <w:t>5.1.</w:t>
            </w:r>
            <w:r>
              <w:rPr>
                <w:rFonts w:eastAsiaTheme="minorEastAsia"/>
                <w:b w:val="0"/>
                <w:noProof/>
                <w:lang w:eastAsia="fr-FR"/>
              </w:rPr>
              <w:tab/>
            </w:r>
            <w:r w:rsidRPr="00C50B04">
              <w:rPr>
                <w:rStyle w:val="Lienhypertexte"/>
                <w:noProof/>
              </w:rPr>
              <w:t>Qualification et identification des risques supportés par la société</w:t>
            </w:r>
            <w:r>
              <w:rPr>
                <w:noProof/>
                <w:webHidden/>
              </w:rPr>
              <w:tab/>
            </w:r>
            <w:r>
              <w:rPr>
                <w:noProof/>
                <w:webHidden/>
              </w:rPr>
              <w:fldChar w:fldCharType="begin"/>
            </w:r>
            <w:r>
              <w:rPr>
                <w:noProof/>
                <w:webHidden/>
              </w:rPr>
              <w:instrText xml:space="preserve"> PAGEREF _Toc232094762 \h </w:instrText>
            </w:r>
            <w:r>
              <w:rPr>
                <w:noProof/>
                <w:webHidden/>
              </w:rPr>
            </w:r>
            <w:r>
              <w:rPr>
                <w:noProof/>
                <w:webHidden/>
              </w:rPr>
              <w:fldChar w:fldCharType="separate"/>
            </w:r>
            <w:r>
              <w:rPr>
                <w:noProof/>
                <w:webHidden/>
              </w:rPr>
              <w:t>21</w:t>
            </w:r>
            <w:r>
              <w:rPr>
                <w:noProof/>
                <w:webHidden/>
              </w:rPr>
              <w:fldChar w:fldCharType="end"/>
            </w:r>
          </w:hyperlink>
        </w:p>
        <w:p w14:paraId="1D8E3CD2" w14:textId="7658684A" w:rsidR="0038500C" w:rsidRDefault="0038500C">
          <w:pPr>
            <w:pStyle w:val="TM2"/>
            <w:rPr>
              <w:rFonts w:eastAsiaTheme="minorEastAsia"/>
              <w:b w:val="0"/>
              <w:noProof/>
              <w:lang w:eastAsia="fr-FR"/>
            </w:rPr>
          </w:pPr>
          <w:hyperlink w:anchor="_Toc232094763" w:history="1">
            <w:r w:rsidRPr="00C50B04">
              <w:rPr>
                <w:rStyle w:val="Lienhypertexte"/>
                <w:rFonts w:ascii="Arial" w:hAnsi="Arial"/>
                <w:noProof/>
              </w:rPr>
              <w:t>5.2.</w:t>
            </w:r>
            <w:r>
              <w:rPr>
                <w:rFonts w:eastAsiaTheme="minorEastAsia"/>
                <w:b w:val="0"/>
                <w:noProof/>
                <w:lang w:eastAsia="fr-FR"/>
              </w:rPr>
              <w:tab/>
            </w:r>
            <w:r w:rsidRPr="00C50B04">
              <w:rPr>
                <w:rStyle w:val="Lienhypertexte"/>
                <w:noProof/>
              </w:rPr>
              <w:t>Mesures complémentaires</w:t>
            </w:r>
            <w:r>
              <w:rPr>
                <w:noProof/>
                <w:webHidden/>
              </w:rPr>
              <w:tab/>
            </w:r>
            <w:r>
              <w:rPr>
                <w:noProof/>
                <w:webHidden/>
              </w:rPr>
              <w:fldChar w:fldCharType="begin"/>
            </w:r>
            <w:r>
              <w:rPr>
                <w:noProof/>
                <w:webHidden/>
              </w:rPr>
              <w:instrText xml:space="preserve"> PAGEREF _Toc232094763 \h </w:instrText>
            </w:r>
            <w:r>
              <w:rPr>
                <w:noProof/>
                <w:webHidden/>
              </w:rPr>
            </w:r>
            <w:r>
              <w:rPr>
                <w:noProof/>
                <w:webHidden/>
              </w:rPr>
              <w:fldChar w:fldCharType="separate"/>
            </w:r>
            <w:r>
              <w:rPr>
                <w:noProof/>
                <w:webHidden/>
              </w:rPr>
              <w:t>21</w:t>
            </w:r>
            <w:r>
              <w:rPr>
                <w:noProof/>
                <w:webHidden/>
              </w:rPr>
              <w:fldChar w:fldCharType="end"/>
            </w:r>
          </w:hyperlink>
        </w:p>
        <w:p w14:paraId="636E3E4E" w14:textId="23A5AE47" w:rsidR="009B4128" w:rsidRPr="0055390E" w:rsidRDefault="00717987" w:rsidP="0055390E">
          <w:pPr>
            <w:pStyle w:val="Corpsdetexte"/>
            <w:rPr>
              <w:color w:val="E7E7E7" w:themeColor="text1" w:themeTint="1A"/>
            </w:rPr>
          </w:pPr>
          <w:r>
            <w:rPr>
              <w:rFonts w:cstheme="minorHAnsi"/>
              <w:color w:val="285F83" w:themeColor="text2"/>
              <w:sz w:val="28"/>
            </w:rPr>
            <w:fldChar w:fldCharType="end"/>
          </w:r>
          <w:r w:rsidR="0055390E" w:rsidRPr="0055390E">
            <w:rPr>
              <w:color w:val="E7E7E7" w:themeColor="text1" w:themeTint="1A"/>
            </w:rPr>
            <w:t xml:space="preserve"> Insérer un saut de ligne manuellement entre les parties</w:t>
          </w:r>
        </w:p>
      </w:sdtContent>
    </w:sdt>
    <w:p w14:paraId="17591F77" w14:textId="77777777" w:rsidR="0055390E" w:rsidRPr="008931CC" w:rsidRDefault="0055390E">
      <w:pPr>
        <w:spacing w:after="0"/>
        <w:jc w:val="left"/>
        <w:rPr>
          <w:rFonts w:asciiTheme="majorHAnsi" w:eastAsiaTheme="majorEastAsia" w:hAnsiTheme="majorHAnsi" w:cstheme="majorBidi"/>
          <w:b/>
          <w:color w:val="285F83" w:themeColor="text2"/>
          <w:sz w:val="28"/>
          <w:szCs w:val="32"/>
        </w:rPr>
      </w:pPr>
      <w:bookmarkStart w:id="0" w:name="_Ref157545934"/>
      <w:bookmarkStart w:id="1" w:name="_Ref157545936"/>
      <w:bookmarkStart w:id="2" w:name="_Ref157545937"/>
      <w:r w:rsidRPr="008931CC">
        <w:br w:type="page"/>
      </w:r>
    </w:p>
    <w:p w14:paraId="37CBDB79" w14:textId="0BAD1D15" w:rsidR="00A26709" w:rsidRDefault="00B17CCF" w:rsidP="009D146D">
      <w:pPr>
        <w:pStyle w:val="Titre1"/>
      </w:pPr>
      <w:bookmarkStart w:id="3" w:name="_Toc213146658"/>
      <w:bookmarkStart w:id="4" w:name="_Toc213146659"/>
      <w:bookmarkStart w:id="5" w:name="_Toc213146662"/>
      <w:bookmarkStart w:id="6" w:name="_Toc213146665"/>
      <w:bookmarkStart w:id="7" w:name="_Toc210210071"/>
      <w:bookmarkStart w:id="8" w:name="_Toc232094724"/>
      <w:bookmarkEnd w:id="0"/>
      <w:bookmarkEnd w:id="1"/>
      <w:bookmarkEnd w:id="2"/>
      <w:bookmarkEnd w:id="3"/>
      <w:bookmarkEnd w:id="4"/>
      <w:bookmarkEnd w:id="5"/>
      <w:bookmarkEnd w:id="6"/>
      <w:bookmarkEnd w:id="7"/>
      <w:r>
        <w:lastRenderedPageBreak/>
        <w:t>C</w:t>
      </w:r>
      <w:r w:rsidR="004C18C5">
        <w:t>ontexte et c</w:t>
      </w:r>
      <w:r>
        <w:t>adre juridique</w:t>
      </w:r>
      <w:bookmarkEnd w:id="8"/>
    </w:p>
    <w:p w14:paraId="1370BBB3" w14:textId="521B9674" w:rsidR="004421FA" w:rsidRDefault="004421FA" w:rsidP="00684B3C">
      <w:r>
        <w:t>Dans l’attente</w:t>
      </w:r>
      <w:r w:rsidRPr="000F3B98">
        <w:t xml:space="preserve"> de la transposition de l’article 18bis de la Directive </w:t>
      </w:r>
      <w:r w:rsidR="79A5226E" w:rsidRPr="00842452">
        <w:rPr>
          <w:rFonts w:eastAsiaTheme="minorEastAsia"/>
        </w:rPr>
        <w:t>(UE) 2024/1711</w:t>
      </w:r>
      <w:r w:rsidR="00E0476F">
        <w:rPr>
          <w:rFonts w:eastAsiaTheme="minorEastAsia"/>
        </w:rPr>
        <w:t xml:space="preserve">, </w:t>
      </w:r>
      <w:r w:rsidR="007835BD">
        <w:rPr>
          <w:rFonts w:eastAsiaTheme="minorEastAsia"/>
        </w:rPr>
        <w:t>ci-après</w:t>
      </w:r>
      <w:r w:rsidR="00E0476F">
        <w:rPr>
          <w:rFonts w:eastAsiaTheme="minorEastAsia"/>
        </w:rPr>
        <w:t xml:space="preserve"> </w:t>
      </w:r>
      <w:r w:rsidR="0005766E">
        <w:rPr>
          <w:rFonts w:eastAsiaTheme="minorEastAsia"/>
        </w:rPr>
        <w:t>« </w:t>
      </w:r>
      <w:r w:rsidR="00E0476F">
        <w:rPr>
          <w:rFonts w:eastAsiaTheme="minorEastAsia"/>
        </w:rPr>
        <w:t>Directive EMD</w:t>
      </w:r>
      <w:r w:rsidR="0005766E">
        <w:rPr>
          <w:rFonts w:eastAsiaTheme="minorEastAsia"/>
        </w:rPr>
        <w:t> »</w:t>
      </w:r>
      <w:r w:rsidR="007835BD">
        <w:rPr>
          <w:rFonts w:eastAsiaTheme="minorEastAsia"/>
        </w:rPr>
        <w:t>,</w:t>
      </w:r>
      <w:r w:rsidR="79A5226E" w:rsidRPr="00842452">
        <w:rPr>
          <w:rFonts w:eastAsiaTheme="minorEastAsia"/>
        </w:rPr>
        <w:t xml:space="preserve"> du Parlement européen et du Conseil du 13 juin 2024 modifiant les directives (UE) 2018/2001 et (UE) 2019/944 en ce qui concerne l’amélioration de l’organisation du marché de l’électricité de l’Union</w:t>
      </w:r>
      <w:r w:rsidR="79A5226E" w:rsidRPr="4C2A9952">
        <w:rPr>
          <w:rFonts w:eastAsiaTheme="minorEastAsia"/>
        </w:rPr>
        <w:t xml:space="preserve"> </w:t>
      </w:r>
      <w:r w:rsidRPr="000F3B98">
        <w:t xml:space="preserve">dans le cadre législatif français, la </w:t>
      </w:r>
      <w:r>
        <w:t>C</w:t>
      </w:r>
      <w:r w:rsidR="57269853">
        <w:t>ommission de régulation de l’énergie (C</w:t>
      </w:r>
      <w:r>
        <w:t>RE</w:t>
      </w:r>
      <w:r w:rsidR="1611A396">
        <w:t>)</w:t>
      </w:r>
      <w:r w:rsidRPr="000F3B98">
        <w:t xml:space="preserve"> souhaite </w:t>
      </w:r>
      <w:r>
        <w:t>engager</w:t>
      </w:r>
      <w:r w:rsidR="000D62A8">
        <w:t>, sous forme de régime transitoire,</w:t>
      </w:r>
      <w:r>
        <w:t xml:space="preserve"> la mise en œuvre</w:t>
      </w:r>
      <w:r w:rsidRPr="000F3B98">
        <w:t xml:space="preserve"> d’un mécanisme de régulation </w:t>
      </w:r>
      <w:r w:rsidR="00045EDA">
        <w:t>dite « </w:t>
      </w:r>
      <w:r w:rsidRPr="000F3B98">
        <w:t>prudentielle</w:t>
      </w:r>
      <w:r w:rsidR="00045EDA">
        <w:t> »</w:t>
      </w:r>
      <w:r>
        <w:t xml:space="preserve"> tant en électricité qu’en gaz naturel</w:t>
      </w:r>
      <w:r w:rsidR="002730A5">
        <w:t>.</w:t>
      </w:r>
      <w:r w:rsidR="00802819" w:rsidRPr="00545789">
        <w:rPr>
          <w:bCs/>
        </w:rPr>
        <w:t xml:space="preserve"> En effet, bien que la Directive EMD ne concerne que le secteur de l’électricité, le cade juridique français peut prévoir une régulation prudentielle pour le secteur du gaz dans le respect du cadre européen fixé pour le secteur de l’électricité. </w:t>
      </w:r>
    </w:p>
    <w:p w14:paraId="6178ACEE" w14:textId="6C0DA2E2" w:rsidR="008523D6" w:rsidRDefault="00CC70A5" w:rsidP="00684B3C">
      <w:pPr>
        <w:pStyle w:val="Corpsdetexte"/>
        <w:spacing w:line="259" w:lineRule="auto"/>
        <w:rPr>
          <w:rFonts w:ascii="Arial" w:eastAsia="Arial" w:hAnsi="Arial" w:cs="Arial"/>
          <w:color w:val="000000"/>
        </w:rPr>
      </w:pPr>
      <w:r w:rsidRPr="00CC70A5">
        <w:t xml:space="preserve">Dans ce cadre, la CRE a mis en œuvre un premier « guichet à blanc » au cours duquel les fournisseurs ont pu transmettre leurs documents avant le 31 janvier 2026. Le régime transitoire prévoit également la tenue de guichets annuels dits « ultérieurs » à compter de l’année 2026 afin de recueillir auprès des fournisseurs concernés les documents listés en annexe 1. </w:t>
      </w:r>
      <w:r w:rsidR="007B70C1">
        <w:t>Ces documents</w:t>
      </w:r>
      <w:r w:rsidR="00A578FB">
        <w:t xml:space="preserve"> sont recueillis par la CRE </w:t>
      </w:r>
      <w:r w:rsidR="008523D6">
        <w:t xml:space="preserve">sur le fondement de l’article L. 134-18 du code de l’énergie : </w:t>
      </w:r>
      <w:r w:rsidR="00CC209F" w:rsidRPr="00431DD0">
        <w:rPr>
          <w:i/>
        </w:rPr>
        <w:t>« P</w:t>
      </w:r>
      <w:r w:rsidR="00CC209F" w:rsidRPr="00431DD0">
        <w:rPr>
          <w:rFonts w:ascii="Arial" w:eastAsia="Arial" w:hAnsi="Arial" w:cs="Arial"/>
          <w:i/>
          <w:color w:val="000000"/>
        </w:rPr>
        <w:t>our l</w:t>
      </w:r>
      <w:r w:rsidR="00BE1935">
        <w:rPr>
          <w:rFonts w:ascii="Arial" w:eastAsia="Arial" w:hAnsi="Arial" w:cs="Arial"/>
          <w:i/>
          <w:color w:val="000000"/>
        </w:rPr>
        <w:t>’</w:t>
      </w:r>
      <w:r w:rsidR="00CC209F" w:rsidRPr="00431DD0">
        <w:rPr>
          <w:rFonts w:ascii="Arial" w:eastAsia="Arial" w:hAnsi="Arial" w:cs="Arial"/>
          <w:i/>
          <w:color w:val="000000"/>
        </w:rPr>
        <w:t>accomplissement des missions qui lui sont confiées, la Commission de régulation de l</w:t>
      </w:r>
      <w:r w:rsidR="00BE1935">
        <w:rPr>
          <w:rFonts w:ascii="Arial" w:eastAsia="Arial" w:hAnsi="Arial" w:cs="Arial"/>
          <w:i/>
          <w:color w:val="000000"/>
        </w:rPr>
        <w:t>’</w:t>
      </w:r>
      <w:r w:rsidR="00CC209F" w:rsidRPr="00431DD0">
        <w:rPr>
          <w:rFonts w:ascii="Arial" w:eastAsia="Arial" w:hAnsi="Arial" w:cs="Arial"/>
          <w:i/>
          <w:color w:val="000000"/>
        </w:rPr>
        <w:t xml:space="preserve">énergie recueille toutes les informations nécessaires auprès des </w:t>
      </w:r>
      <w:r w:rsidR="00CC209F" w:rsidRPr="20F585D2">
        <w:rPr>
          <w:rFonts w:ascii="Arial" w:eastAsia="Arial" w:hAnsi="Arial" w:cs="Arial"/>
          <w:i/>
          <w:color w:val="000000"/>
        </w:rPr>
        <w:t xml:space="preserve">[...] </w:t>
      </w:r>
      <w:r w:rsidR="00CC209F" w:rsidRPr="00431DD0">
        <w:rPr>
          <w:rFonts w:ascii="Arial" w:eastAsia="Arial" w:hAnsi="Arial" w:cs="Arial"/>
          <w:i/>
          <w:color w:val="000000"/>
        </w:rPr>
        <w:t>auprès des autres entreprises intervenant sur le marché de l</w:t>
      </w:r>
      <w:r w:rsidR="00BE1935">
        <w:rPr>
          <w:rFonts w:ascii="Arial" w:eastAsia="Arial" w:hAnsi="Arial" w:cs="Arial"/>
          <w:i/>
          <w:color w:val="000000"/>
        </w:rPr>
        <w:t>’</w:t>
      </w:r>
      <w:r w:rsidR="00CC209F" w:rsidRPr="00431DD0">
        <w:rPr>
          <w:rFonts w:ascii="Arial" w:eastAsia="Arial" w:hAnsi="Arial" w:cs="Arial"/>
          <w:i/>
          <w:color w:val="000000"/>
        </w:rPr>
        <w:t xml:space="preserve">électricité ou du gaz naturel </w:t>
      </w:r>
      <w:r w:rsidR="00CC209F" w:rsidRPr="20F585D2">
        <w:rPr>
          <w:rFonts w:ascii="Arial" w:eastAsia="Arial" w:hAnsi="Arial" w:cs="Arial"/>
          <w:i/>
          <w:color w:val="000000"/>
        </w:rPr>
        <w:t xml:space="preserve">[...] </w:t>
      </w:r>
      <w:r w:rsidR="00CC209F" w:rsidRPr="00431DD0">
        <w:rPr>
          <w:i/>
        </w:rPr>
        <w:t>»</w:t>
      </w:r>
      <w:r w:rsidR="00CC209F" w:rsidRPr="00431DD0">
        <w:rPr>
          <w:rFonts w:ascii="Arial" w:eastAsia="Arial" w:hAnsi="Arial" w:cs="Arial"/>
          <w:i/>
          <w:color w:val="000000"/>
        </w:rPr>
        <w:t>.</w:t>
      </w:r>
      <w:r w:rsidR="00CC209F">
        <w:rPr>
          <w:rFonts w:ascii="Arial" w:eastAsia="Arial" w:hAnsi="Arial" w:cs="Arial"/>
          <w:iCs/>
          <w:color w:val="000000"/>
        </w:rPr>
        <w:t xml:space="preserve"> Ce recueil d’information s’appuie sur les missions de la CRE des articles L. 131-1 et L. 131-2 du code de l’énergie précités. </w:t>
      </w:r>
    </w:p>
    <w:p w14:paraId="3C60C0C9" w14:textId="1968C8EB" w:rsidR="009D1D6C" w:rsidRDefault="009D75F0" w:rsidP="00CC209F">
      <w:pPr>
        <w:pStyle w:val="Corpsdetexte"/>
        <w:spacing w:line="259" w:lineRule="auto"/>
      </w:pPr>
      <w:r>
        <w:t>L</w:t>
      </w:r>
      <w:r w:rsidR="009D1D6C">
        <w:t>es</w:t>
      </w:r>
      <w:r w:rsidR="00D4671D">
        <w:t xml:space="preserve"> fournisseurs </w:t>
      </w:r>
      <w:r>
        <w:t xml:space="preserve">concernés </w:t>
      </w:r>
      <w:r w:rsidR="00D4671D">
        <w:t>sont tenus de participer</w:t>
      </w:r>
      <w:r w:rsidR="00921A81">
        <w:t>, en application d’un régime transitoire,</w:t>
      </w:r>
      <w:r w:rsidR="00D4671D">
        <w:t xml:space="preserve"> </w:t>
      </w:r>
      <w:r w:rsidR="00103AB0">
        <w:t>au</w:t>
      </w:r>
      <w:r w:rsidR="002742D2">
        <w:t xml:space="preserve">x guichets </w:t>
      </w:r>
      <w:r w:rsidR="00921A81">
        <w:t>ultérieurs</w:t>
      </w:r>
      <w:r w:rsidR="00103AB0">
        <w:t xml:space="preserve"> précités.</w:t>
      </w:r>
      <w:r w:rsidR="009D1D6C">
        <w:t xml:space="preserve"> </w:t>
      </w:r>
      <w:r w:rsidR="0016601F">
        <w:t>D</w:t>
      </w:r>
      <w:r w:rsidR="009133F7">
        <w:t xml:space="preserve">ans l’attente </w:t>
      </w:r>
      <w:r w:rsidR="00F43E82">
        <w:t>de la pleine transposition de la Directive EMD, l</w:t>
      </w:r>
      <w:r w:rsidR="009D1D6C">
        <w:t>es</w:t>
      </w:r>
      <w:r w:rsidR="00D4671D">
        <w:t xml:space="preserve"> résultats </w:t>
      </w:r>
      <w:r w:rsidR="00F43E82">
        <w:t>de ces guichets</w:t>
      </w:r>
      <w:r w:rsidR="009D1D6C">
        <w:t xml:space="preserve"> </w:t>
      </w:r>
      <w:r w:rsidR="00216D2C">
        <w:t>s’agissant de</w:t>
      </w:r>
      <w:r w:rsidR="00216D2C" w:rsidRPr="00216D2C">
        <w:t xml:space="preserve"> la bonne application des principes de la régulation prudentielle</w:t>
      </w:r>
      <w:r w:rsidR="009D1D6C">
        <w:t xml:space="preserve"> </w:t>
      </w:r>
      <w:r w:rsidR="00D4671D">
        <w:t xml:space="preserve">ne </w:t>
      </w:r>
      <w:r w:rsidR="009D1D6C">
        <w:t>saur</w:t>
      </w:r>
      <w:r w:rsidR="00103AB0">
        <w:t>on</w:t>
      </w:r>
      <w:r w:rsidR="009D1D6C">
        <w:t>t</w:t>
      </w:r>
      <w:r w:rsidR="00D4671D">
        <w:t xml:space="preserve"> entraîner de sanctions des fournisseurs</w:t>
      </w:r>
      <w:r w:rsidR="009D1D6C">
        <w:t>.</w:t>
      </w:r>
    </w:p>
    <w:p w14:paraId="362E1E30" w14:textId="049E4B27" w:rsidR="00845B0C" w:rsidRDefault="0016601F" w:rsidP="00845B0C">
      <w:r>
        <w:t xml:space="preserve">Toutefois, </w:t>
      </w:r>
      <w:r w:rsidR="00E907F3">
        <w:t xml:space="preserve">dans le cadre des guichets </w:t>
      </w:r>
      <w:r w:rsidR="00845B0C">
        <w:t xml:space="preserve">annuels </w:t>
      </w:r>
      <w:r w:rsidR="00216D2C">
        <w:t>ultérieurs</w:t>
      </w:r>
      <w:r w:rsidR="00845B0C">
        <w:t xml:space="preserve"> à </w:t>
      </w:r>
      <w:r w:rsidR="00E907F3">
        <w:t>compter</w:t>
      </w:r>
      <w:r w:rsidR="00845B0C">
        <w:t xml:space="preserve"> de 2026, la CRE communiquera les résultats </w:t>
      </w:r>
      <w:r w:rsidR="00E3538A" w:rsidRPr="00E3538A">
        <w:t xml:space="preserve">sur la bonne application des principes de </w:t>
      </w:r>
      <w:r w:rsidR="00845B0C">
        <w:t>la régulation prudentielle, au plus tard six mois après la tenue des guichets respectifs en gaz naturel et en électricité.</w:t>
      </w:r>
      <w:r w:rsidR="00845B0C" w:rsidRPr="00840DAC">
        <w:t xml:space="preserve"> </w:t>
      </w:r>
    </w:p>
    <w:p w14:paraId="7D69589E" w14:textId="77777777" w:rsidR="00845B0C" w:rsidRDefault="00845B0C" w:rsidP="00CC209F">
      <w:pPr>
        <w:pStyle w:val="Corpsdetexte"/>
        <w:spacing w:line="259" w:lineRule="auto"/>
        <w:rPr>
          <w:rFonts w:ascii="Arial" w:eastAsia="Arial" w:hAnsi="Arial" w:cs="Arial"/>
          <w:iCs/>
          <w:color w:val="000000"/>
        </w:rPr>
      </w:pPr>
    </w:p>
    <w:p w14:paraId="272C1942" w14:textId="77777777" w:rsidR="00D4006D" w:rsidRDefault="00D4006D" w:rsidP="00684B3C">
      <w:pPr>
        <w:pStyle w:val="Corpsdetexte"/>
        <w:spacing w:line="259" w:lineRule="auto"/>
      </w:pPr>
    </w:p>
    <w:p w14:paraId="7B1745EA" w14:textId="39D20B28" w:rsidR="00346A4B" w:rsidRDefault="009D146D" w:rsidP="009D146D">
      <w:pPr>
        <w:pStyle w:val="Titre1"/>
      </w:pPr>
      <w:bookmarkStart w:id="9" w:name="_Toc232094725"/>
      <w:r>
        <w:t xml:space="preserve">Caractéristiques du </w:t>
      </w:r>
      <w:r w:rsidR="00FE562A">
        <w:t>dispositif de régulation prudentielle</w:t>
      </w:r>
      <w:bookmarkEnd w:id="9"/>
      <w:r w:rsidR="00FE562A">
        <w:t xml:space="preserve"> </w:t>
      </w:r>
    </w:p>
    <w:p w14:paraId="50871CEF" w14:textId="1B6F1E31" w:rsidR="00D6371B" w:rsidRDefault="00D6371B" w:rsidP="00154F8F">
      <w:pPr>
        <w:pStyle w:val="Titre2"/>
      </w:pPr>
      <w:bookmarkStart w:id="10" w:name="_Toc232094726"/>
      <w:r>
        <w:t>Architecture globale du dispositif</w:t>
      </w:r>
      <w:bookmarkEnd w:id="10"/>
    </w:p>
    <w:p w14:paraId="263E74FA" w14:textId="56D9DCE6" w:rsidR="003D506F" w:rsidRDefault="0040474D" w:rsidP="003D506F">
      <w:pPr>
        <w:pStyle w:val="Corpsdetexte"/>
      </w:pPr>
      <w:r w:rsidRPr="0040474D">
        <w:t xml:space="preserve">Le mécanisme de la régulation prudentielle repose sur les 3 principes suivants : </w:t>
      </w:r>
      <w:r w:rsidR="003D506F">
        <w:t xml:space="preserve"> </w:t>
      </w:r>
    </w:p>
    <w:p w14:paraId="451A551D" w14:textId="55628FEC" w:rsidR="003D506F" w:rsidRDefault="003D506F" w:rsidP="003D506F">
      <w:pPr>
        <w:pStyle w:val="Corpsdetexte"/>
        <w:numPr>
          <w:ilvl w:val="0"/>
          <w:numId w:val="67"/>
        </w:numPr>
        <w:ind w:left="284" w:hanging="284"/>
      </w:pPr>
      <w:r w:rsidRPr="000B38DB">
        <w:rPr>
          <w:b/>
          <w:bCs/>
          <w:u w:val="single"/>
        </w:rPr>
        <w:t>Principe n°1</w:t>
      </w:r>
      <w:r w:rsidRPr="000B38DB">
        <w:rPr>
          <w:b/>
          <w:u w:val="single"/>
        </w:rPr>
        <w:t> </w:t>
      </w:r>
      <w:r w:rsidR="00D36923" w:rsidRPr="000B38DB">
        <w:rPr>
          <w:b/>
          <w:u w:val="single"/>
        </w:rPr>
        <w:t>– critère en couverture</w:t>
      </w:r>
      <w:r w:rsidR="00D36923">
        <w:rPr>
          <w:b/>
        </w:rPr>
        <w:t xml:space="preserve"> </w:t>
      </w:r>
      <w:r w:rsidRPr="00842452">
        <w:rPr>
          <w:b/>
        </w:rPr>
        <w:t>:</w:t>
      </w:r>
      <w:r>
        <w:t xml:space="preserve"> la mise en place d’un critère de couverture </w:t>
      </w:r>
      <w:r w:rsidR="00AC388D">
        <w:t xml:space="preserve">correspondant </w:t>
      </w:r>
      <w:r>
        <w:t>aux engagements de prix des contrats de fourniture. À la lumière des retours d’expérience à l’international, la CRE identif</w:t>
      </w:r>
      <w:r w:rsidR="004C4529">
        <w:t>ie</w:t>
      </w:r>
      <w:r>
        <w:t xml:space="preserve"> </w:t>
      </w:r>
      <w:r w:rsidR="00AC388D">
        <w:t>le</w:t>
      </w:r>
      <w:r>
        <w:t xml:space="preserve"> critère de couverture comme un moyen lisible et efficace de limiter </w:t>
      </w:r>
      <w:r w:rsidR="00E76568">
        <w:t>la charge</w:t>
      </w:r>
      <w:r w:rsidR="002A6A3F">
        <w:t xml:space="preserve"> </w:t>
      </w:r>
      <w:r w:rsidR="00AD49F9">
        <w:t xml:space="preserve">globale </w:t>
      </w:r>
      <w:r w:rsidR="002A6A3F">
        <w:t>administrative et</w:t>
      </w:r>
      <w:r>
        <w:t xml:space="preserve"> opérationnelles </w:t>
      </w:r>
      <w:r w:rsidR="00AD49F9">
        <w:t>induite par les contrôles</w:t>
      </w:r>
      <w:r>
        <w:rPr>
          <w:rStyle w:val="Appelnotedebasdep"/>
        </w:rPr>
        <w:footnoteReference w:id="2"/>
      </w:r>
      <w:r>
        <w:t>, et d’éviter les risques de barrière à l’entrée ou de distorsion de concurrence</w:t>
      </w:r>
      <w:r>
        <w:rPr>
          <w:rStyle w:val="Appelnotedebasdep"/>
        </w:rPr>
        <w:footnoteReference w:id="3"/>
      </w:r>
      <w:r>
        <w:t>. Ce critère est caractérisé par un « niveau de couverture minimum cible</w:t>
      </w:r>
      <w:r w:rsidR="00FD6DE0">
        <w:t> </w:t>
      </w:r>
      <w:r>
        <w:t xml:space="preserve">» en volume. </w:t>
      </w:r>
    </w:p>
    <w:p w14:paraId="1E401F84" w14:textId="24A8AB5E" w:rsidR="003D506F" w:rsidRDefault="003D506F" w:rsidP="003D506F">
      <w:pPr>
        <w:pStyle w:val="Corpsdetexte"/>
        <w:numPr>
          <w:ilvl w:val="0"/>
          <w:numId w:val="67"/>
        </w:numPr>
        <w:ind w:left="284" w:hanging="284"/>
      </w:pPr>
      <w:r w:rsidRPr="302B9FF8">
        <w:rPr>
          <w:b/>
          <w:bCs/>
          <w:u w:val="single"/>
        </w:rPr>
        <w:t>Principe n°2</w:t>
      </w:r>
      <w:r w:rsidR="00D36923">
        <w:rPr>
          <w:b/>
          <w:bCs/>
          <w:u w:val="single"/>
        </w:rPr>
        <w:t xml:space="preserve"> – critère financier</w:t>
      </w:r>
      <w:r>
        <w:rPr>
          <w:b/>
        </w:rPr>
        <w:t> </w:t>
      </w:r>
      <w:r w:rsidRPr="00842452">
        <w:rPr>
          <w:b/>
        </w:rPr>
        <w:t>:</w:t>
      </w:r>
      <w:r>
        <w:t xml:space="preserve"> </w:t>
      </w:r>
      <w:r w:rsidRPr="00842452">
        <w:t xml:space="preserve">un </w:t>
      </w:r>
      <w:r w:rsidR="007D3BFD" w:rsidRPr="00842452">
        <w:t>contrôle de la solvabilité et de la liquidité</w:t>
      </w:r>
      <w:r w:rsidRPr="00842452">
        <w:t xml:space="preserve"> des fournisseurs </w:t>
      </w:r>
      <w:r w:rsidR="007D3BFD" w:rsidRPr="00842452">
        <w:t xml:space="preserve">au regard de leurs risques </w:t>
      </w:r>
      <w:r w:rsidRPr="00842452">
        <w:t>permettant d’adopter une approche plus spécifique</w:t>
      </w:r>
      <w:r>
        <w:t xml:space="preserve"> lors du contrôle de </w:t>
      </w:r>
      <w:r w:rsidR="007D3BFD" w:rsidRPr="007D3BFD">
        <w:t>l’obligation</w:t>
      </w:r>
      <w:r>
        <w:t xml:space="preserve"> de couverture. La CRE estim</w:t>
      </w:r>
      <w:r w:rsidR="004C4529">
        <w:t>e</w:t>
      </w:r>
      <w:r>
        <w:t xml:space="preserve"> nécessaire de permettre aux fournisseurs de déroger au principe n°1, sous réserve de capacités financières du fournisseur suffisantes pour lui garantir une résilience en cas de crise. Les modalités d’évaluation de cette résilience par la CRE au moyen de tests financiers</w:t>
      </w:r>
      <w:r w:rsidR="0024761D">
        <w:t>,</w:t>
      </w:r>
      <w:r w:rsidR="0024761D" w:rsidRPr="0024761D">
        <w:t xml:space="preserve"> </w:t>
      </w:r>
      <w:r w:rsidR="0024761D">
        <w:t>dont la profondeur est conditionnée par leur notation financière</w:t>
      </w:r>
      <w:r>
        <w:t xml:space="preserve">. </w:t>
      </w:r>
    </w:p>
    <w:p w14:paraId="1D05C699" w14:textId="75C30A7D" w:rsidR="003D506F" w:rsidRDefault="003D506F" w:rsidP="003D506F">
      <w:pPr>
        <w:pStyle w:val="Corpsdetexte"/>
        <w:numPr>
          <w:ilvl w:val="0"/>
          <w:numId w:val="67"/>
        </w:numPr>
        <w:ind w:left="284" w:hanging="284"/>
      </w:pPr>
      <w:r w:rsidRPr="008E2B01">
        <w:rPr>
          <w:b/>
          <w:bCs/>
          <w:u w:val="single"/>
        </w:rPr>
        <w:t>Principe n°3</w:t>
      </w:r>
      <w:r w:rsidR="00D36923">
        <w:rPr>
          <w:b/>
          <w:bCs/>
          <w:u w:val="single"/>
        </w:rPr>
        <w:t xml:space="preserve"> - gouvernance</w:t>
      </w:r>
      <w:r>
        <w:rPr>
          <w:b/>
        </w:rPr>
        <w:t> </w:t>
      </w:r>
      <w:r w:rsidRPr="00842452">
        <w:rPr>
          <w:b/>
        </w:rPr>
        <w:t>:</w:t>
      </w:r>
      <w:r>
        <w:t xml:space="preserve"> la formalisation par le fournisseur d’une stratégie de couverture et de gestion des risques, qui devrai</w:t>
      </w:r>
      <w:r w:rsidR="00284330">
        <w:t>t</w:t>
      </w:r>
      <w:r>
        <w:t xml:space="preserve"> également être reflété</w:t>
      </w:r>
      <w:r w:rsidR="00284330">
        <w:t>e</w:t>
      </w:r>
      <w:r>
        <w:t xml:space="preserve"> dans la gouvernance de la société. La promotion de bonnes pratiques en matière de gestion des risques est </w:t>
      </w:r>
      <w:r w:rsidR="00AC388D">
        <w:t>un élément essentiel</w:t>
      </w:r>
      <w:r>
        <w:t xml:space="preserve"> des régulations prudentielles existantes, et la généralisation d’une discipline de marché faisant </w:t>
      </w:r>
      <w:r w:rsidR="00A06BED">
        <w:t xml:space="preserve">une </w:t>
      </w:r>
      <w:r>
        <w:t>juste place à la gestion des risques dans l’activité de fourniture est souhaitable.</w:t>
      </w:r>
    </w:p>
    <w:p w14:paraId="4A4EE01B" w14:textId="4AD911C2" w:rsidR="003D506F" w:rsidRDefault="003D506F" w:rsidP="003D506F">
      <w:pPr>
        <w:pStyle w:val="Corpsdetexte"/>
      </w:pPr>
    </w:p>
    <w:p w14:paraId="578B70D7" w14:textId="77777777" w:rsidR="0040474D" w:rsidRDefault="0040474D" w:rsidP="0040474D">
      <w:pPr>
        <w:pStyle w:val="Corpsdetextedeladcision"/>
      </w:pPr>
      <w:r>
        <w:t>La régulation prudentielle</w:t>
      </w:r>
      <w:r w:rsidRPr="00431DD0">
        <w:t xml:space="preserve"> repose sur une approche séquentielle </w:t>
      </w:r>
      <w:r>
        <w:t xml:space="preserve">des principes 1 et 2 tandis que le principe 3 s’applique en parallèle. </w:t>
      </w:r>
    </w:p>
    <w:p w14:paraId="1B74D6DA" w14:textId="62D802FE" w:rsidR="0040474D" w:rsidRPr="00431DD0" w:rsidRDefault="0040474D" w:rsidP="0040474D">
      <w:pPr>
        <w:pStyle w:val="Corpsdetextedeladcision"/>
      </w:pPr>
      <w:r>
        <w:t>Ainsi</w:t>
      </w:r>
      <w:r w:rsidR="00737DCE">
        <w:t>,</w:t>
      </w:r>
      <w:r>
        <w:t xml:space="preserve"> concernant l’analyse quantitative,</w:t>
      </w:r>
      <w:r w:rsidRPr="00431DD0">
        <w:t xml:space="preserve"> la CRE </w:t>
      </w:r>
      <w:r w:rsidR="00A02497">
        <w:t>établit</w:t>
      </w:r>
      <w:r w:rsidRPr="00431DD0">
        <w:t xml:space="preserve"> un critère de respect des engagements en volume</w:t>
      </w:r>
      <w:r>
        <w:t xml:space="preserve"> (principe 1)</w:t>
      </w:r>
      <w:r w:rsidRPr="00431DD0">
        <w:t xml:space="preserve">, le critère en couverture, qui permet d’écarter de la suite du dispositif quantitatif les acteurs en conformité. Les acteurs non-conformes </w:t>
      </w:r>
      <w:r w:rsidR="00A02497">
        <w:t>sont</w:t>
      </w:r>
      <w:r w:rsidRPr="00431DD0">
        <w:t xml:space="preserve"> soumis à un test financier</w:t>
      </w:r>
      <w:r>
        <w:t xml:space="preserve"> (principe 2)</w:t>
      </w:r>
      <w:r w:rsidRPr="00431DD0">
        <w:t xml:space="preserve">, dont la profondeur est conditionnée par le niveau de la </w:t>
      </w:r>
      <w:r w:rsidR="00A02497">
        <w:t>n</w:t>
      </w:r>
      <w:r w:rsidRPr="00431DD0">
        <w:t xml:space="preserve">otation financière du fournisseur. Si les perturbations financières associées à ces tests </w:t>
      </w:r>
      <w:r w:rsidR="00A02497">
        <w:t>conduisent</w:t>
      </w:r>
      <w:r w:rsidRPr="00431DD0">
        <w:t xml:space="preserve"> à un défaut en solvabilité ou en liquidité, les fournisseurs </w:t>
      </w:r>
      <w:r w:rsidR="00A02497">
        <w:t>entrent</w:t>
      </w:r>
      <w:r w:rsidRPr="00431DD0">
        <w:t xml:space="preserve"> dans un plan de remise en conformité au cours duquel ils </w:t>
      </w:r>
      <w:r w:rsidR="00A02497">
        <w:t>ont</w:t>
      </w:r>
      <w:r w:rsidRPr="00431DD0">
        <w:t xml:space="preserve"> l’opportunité de </w:t>
      </w:r>
      <w:r>
        <w:t>se conformer</w:t>
      </w:r>
      <w:r w:rsidRPr="00431DD0">
        <w:t xml:space="preserve"> avec les principes de la régulation prudentielle. </w:t>
      </w:r>
    </w:p>
    <w:p w14:paraId="2F5B0F25" w14:textId="1E08BCE7" w:rsidR="0040474D" w:rsidRDefault="0040474D" w:rsidP="0040474D">
      <w:pPr>
        <w:pStyle w:val="Corpsdetexte"/>
      </w:pPr>
      <w:r w:rsidRPr="00431DD0">
        <w:t xml:space="preserve">En parallèle, les fournisseurs </w:t>
      </w:r>
      <w:r w:rsidR="00A02497">
        <w:t>doivent</w:t>
      </w:r>
      <w:r w:rsidRPr="00431DD0">
        <w:t xml:space="preserve"> formaliser une stratégie de couverture et de gestion des risques</w:t>
      </w:r>
      <w:r>
        <w:t xml:space="preserve"> (principe 3)</w:t>
      </w:r>
      <w:r w:rsidRPr="00431DD0">
        <w:t xml:space="preserve">, qu’ils </w:t>
      </w:r>
      <w:r w:rsidR="00A02497">
        <w:t>communiquent</w:t>
      </w:r>
      <w:r w:rsidRPr="00431DD0">
        <w:t xml:space="preserve"> à la CRE au travers d’un document descriptif. </w:t>
      </w:r>
      <w:r w:rsidR="003E5214">
        <w:t xml:space="preserve">De </w:t>
      </w:r>
      <w:proofErr w:type="gramStart"/>
      <w:r w:rsidR="003E5214">
        <w:t>surcroît ,</w:t>
      </w:r>
      <w:proofErr w:type="gramEnd"/>
      <w:r w:rsidR="003E5214">
        <w:t xml:space="preserve"> l</w:t>
      </w:r>
      <w:r w:rsidRPr="00431DD0">
        <w:t>a CRE promeut un ensemble de mesures complémentaires sur les procédures et l’organisation interne.</w:t>
      </w:r>
      <w:r w:rsidR="003D506F">
        <w:t xml:space="preserve"> </w:t>
      </w:r>
      <w:r w:rsidR="00A02497">
        <w:t>Elle</w:t>
      </w:r>
      <w:r w:rsidR="005546DC">
        <w:t xml:space="preserve"> publiera par ailleurs</w:t>
      </w:r>
      <w:r w:rsidR="00932893">
        <w:t xml:space="preserve">, à l’issue des guichets </w:t>
      </w:r>
      <w:r>
        <w:t>annuels</w:t>
      </w:r>
      <w:r w:rsidR="00932893">
        <w:t>,</w:t>
      </w:r>
      <w:r w:rsidR="005546DC">
        <w:t xml:space="preserve"> les résultats </w:t>
      </w:r>
      <w:r w:rsidR="001C484D" w:rsidRPr="001C484D">
        <w:t>s’agissant de la bonne application des principes de la régulation prudentielle</w:t>
      </w:r>
      <w:r w:rsidR="005546DC">
        <w:t xml:space="preserve">. </w:t>
      </w:r>
    </w:p>
    <w:p w14:paraId="4EF8413A" w14:textId="5043AFE6" w:rsidR="003D506F" w:rsidRDefault="003D506F" w:rsidP="0040474D">
      <w:pPr>
        <w:pStyle w:val="Corpsdetexte"/>
      </w:pPr>
      <w:r>
        <w:t>Le schéma ci-dessous décrit l’architecture des contrôles prudentiels retenu</w:t>
      </w:r>
      <w:r w:rsidR="0012089E">
        <w:t>e</w:t>
      </w:r>
      <w:r w:rsidR="00BE1935">
        <w:t> </w:t>
      </w:r>
      <w:r>
        <w:t xml:space="preserve">: </w:t>
      </w:r>
    </w:p>
    <w:p w14:paraId="24EB2A9C" w14:textId="4FBFFD6B" w:rsidR="003D506F" w:rsidRDefault="000F5E4B" w:rsidP="003D506F">
      <w:pPr>
        <w:pStyle w:val="Corpsdetexte"/>
        <w:jc w:val="center"/>
      </w:pPr>
      <w:r w:rsidRPr="000F5E4B" w:rsidDel="000F5E4B">
        <w:t xml:space="preserve"> </w:t>
      </w:r>
      <w:r w:rsidR="00056CF7">
        <w:rPr>
          <w:noProof/>
        </w:rPr>
        <w:drawing>
          <wp:inline distT="0" distB="0" distL="0" distR="0" wp14:anchorId="1BB13E51" wp14:editId="5C12F2C4">
            <wp:extent cx="4926379" cy="4807194"/>
            <wp:effectExtent l="0" t="0" r="0" b="0"/>
            <wp:docPr id="1558706252" name="Graphique 1558706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706252" name="Image 2"/>
                    <pic:cNvPicPr>
                      <a:picLocks noChangeAspect="1" noChangeArrowheads="1"/>
                    </pic:cNvPicPr>
                  </pic:nvPicPr>
                  <pic:blipFill>
                    <a:blip r:embed="rId11">
                      <a:extLst>
                        <a:ext uri="{96DAC541-7B7A-43D3-8B79-37D633B846F1}">
                          <asvg:svgBlip xmlns:asvg="http://schemas.microsoft.com/office/drawing/2016/SVG/main" r:embed="rId12"/>
                        </a:ext>
                      </a:extLst>
                    </a:blip>
                    <a:stretch>
                      <a:fillRect/>
                    </a:stretch>
                  </pic:blipFill>
                  <pic:spPr bwMode="auto">
                    <a:xfrm>
                      <a:off x="0" y="0"/>
                      <a:ext cx="4935162" cy="4815764"/>
                    </a:xfrm>
                    <a:prstGeom prst="rect">
                      <a:avLst/>
                    </a:prstGeom>
                  </pic:spPr>
                </pic:pic>
              </a:graphicData>
            </a:graphic>
          </wp:inline>
        </w:drawing>
      </w:r>
    </w:p>
    <w:p w14:paraId="5CFB058F" w14:textId="18034037" w:rsidR="00D6371B" w:rsidRPr="00D6371B" w:rsidRDefault="00D6371B" w:rsidP="00A2004D">
      <w:pPr>
        <w:pStyle w:val="Corpsdetexte"/>
      </w:pPr>
    </w:p>
    <w:p w14:paraId="5B410731" w14:textId="342F7675" w:rsidR="004B5E93" w:rsidRPr="004B5E93" w:rsidRDefault="00DB6986" w:rsidP="00372EFD">
      <w:pPr>
        <w:pStyle w:val="Titre2"/>
      </w:pPr>
      <w:bookmarkStart w:id="11" w:name="_Toc232094727"/>
      <w:r>
        <w:t>Périmètre d</w:t>
      </w:r>
      <w:r w:rsidR="00307325">
        <w:t>u dispositif</w:t>
      </w:r>
      <w:bookmarkEnd w:id="11"/>
    </w:p>
    <w:p w14:paraId="30510FD0" w14:textId="43C998E2" w:rsidR="00377F08" w:rsidRPr="00377F08" w:rsidRDefault="008054CE" w:rsidP="00684B3C">
      <w:pPr>
        <w:pStyle w:val="Corpsdetexte"/>
      </w:pPr>
      <w:r>
        <w:t>La présente section vise à préciser le périmètre du dispositif s’agissant des acteurs concernés</w:t>
      </w:r>
      <w:r w:rsidR="00071D05">
        <w:t xml:space="preserve">, et </w:t>
      </w:r>
      <w:r w:rsidR="00B472C6">
        <w:t>d</w:t>
      </w:r>
      <w:r w:rsidR="00C95E0E">
        <w:t>es volumes et contrats considérés comme engageants pour le fournisseur vis-à-vis du consommateur final dans le</w:t>
      </w:r>
      <w:r w:rsidR="00EF6D8D">
        <w:t xml:space="preserve"> dispositif </w:t>
      </w:r>
      <w:r w:rsidR="00ED343B">
        <w:t xml:space="preserve">communiqué par la CRE dans la présente délibération. </w:t>
      </w:r>
    </w:p>
    <w:p w14:paraId="261E2A46" w14:textId="79F09BB4" w:rsidR="002F655E" w:rsidRDefault="004A05CD" w:rsidP="008B4A2B">
      <w:pPr>
        <w:pStyle w:val="Titre3"/>
      </w:pPr>
      <w:bookmarkStart w:id="12" w:name="_Toc213409472"/>
      <w:bookmarkStart w:id="13" w:name="_Toc232094728"/>
      <w:bookmarkEnd w:id="12"/>
      <w:r>
        <w:lastRenderedPageBreak/>
        <w:t>A</w:t>
      </w:r>
      <w:r w:rsidR="00DB6986">
        <w:t>cteurs concernés</w:t>
      </w:r>
      <w:bookmarkEnd w:id="13"/>
      <w:r w:rsidR="00DB6986">
        <w:t xml:space="preserve"> </w:t>
      </w:r>
    </w:p>
    <w:p w14:paraId="4645E7C0" w14:textId="0D275DD0" w:rsidR="00095308" w:rsidRDefault="00095308" w:rsidP="004F063B">
      <w:pPr>
        <w:pStyle w:val="Corpsdetexte"/>
      </w:pPr>
      <w:r>
        <w:t>Bien que la directive EMD ne concerne que le secteur de l’électricité, l</w:t>
      </w:r>
      <w:r w:rsidR="002E2A2A">
        <w:t xml:space="preserve">a CRE applique </w:t>
      </w:r>
      <w:r>
        <w:t xml:space="preserve">le dispositif </w:t>
      </w:r>
      <w:r w:rsidR="0061619D">
        <w:t>transitoire</w:t>
      </w:r>
      <w:r w:rsidR="00031D25">
        <w:t xml:space="preserve"> </w:t>
      </w:r>
      <w:r w:rsidR="00BD1700">
        <w:t xml:space="preserve">de la régulation prudentielle </w:t>
      </w:r>
      <w:r w:rsidR="00D41BC1">
        <w:t>aux secteurs d</w:t>
      </w:r>
      <w:r w:rsidR="002E2A2A">
        <w:t>’électricité et du gaz</w:t>
      </w:r>
      <w:r w:rsidR="00182140">
        <w:t xml:space="preserve">. Ainsi, </w:t>
      </w:r>
      <w:r w:rsidR="00AF5BBD">
        <w:t xml:space="preserve">les </w:t>
      </w:r>
      <w:r w:rsidR="00142A6C">
        <w:t>entités</w:t>
      </w:r>
      <w:r w:rsidR="00AF5BBD">
        <w:t xml:space="preserve"> titulaires d’une autorisation de fourniture de gaz naturel sont </w:t>
      </w:r>
      <w:r w:rsidR="00031D25">
        <w:t>concernées</w:t>
      </w:r>
      <w:r w:rsidR="00AF5BBD">
        <w:t xml:space="preserve"> par le dispositif au même titre que les </w:t>
      </w:r>
      <w:r w:rsidR="00142A6C">
        <w:t xml:space="preserve">entités </w:t>
      </w:r>
      <w:r w:rsidR="00AF5BBD">
        <w:t xml:space="preserve">titulaires </w:t>
      </w:r>
      <w:r w:rsidR="00142A6C">
        <w:t>d’une autorisation d’achat pour revente d’électricité.</w:t>
      </w:r>
      <w:r w:rsidR="00200345">
        <w:t xml:space="preserve"> </w:t>
      </w:r>
      <w:r w:rsidR="00876E75">
        <w:t xml:space="preserve">La CRE </w:t>
      </w:r>
      <w:r w:rsidR="00EE261E">
        <w:t xml:space="preserve">rappelle, à cet égard, la nécessité de mettre en place un régime </w:t>
      </w:r>
      <w:r w:rsidR="00C00F75">
        <w:t xml:space="preserve">couvrant tant le secteur de l’électricité que du gaz naturel. </w:t>
      </w:r>
    </w:p>
    <w:p w14:paraId="582B3853" w14:textId="3F719EC4" w:rsidR="006F458F" w:rsidRDefault="00CC4AC8" w:rsidP="004F063B">
      <w:pPr>
        <w:pStyle w:val="Corpsdetexte"/>
      </w:pPr>
      <w:r>
        <w:t xml:space="preserve">En </w:t>
      </w:r>
      <w:r w:rsidR="008724D0">
        <w:t>revanche</w:t>
      </w:r>
      <w:r>
        <w:t xml:space="preserve">, </w:t>
      </w:r>
      <w:r w:rsidR="0040474D">
        <w:t>sont</w:t>
      </w:r>
      <w:r w:rsidR="007D6A82">
        <w:t xml:space="preserve"> </w:t>
      </w:r>
      <w:r w:rsidR="007D6A82" w:rsidRPr="00431DD0">
        <w:rPr>
          <w:b/>
        </w:rPr>
        <w:t>exonér</w:t>
      </w:r>
      <w:r w:rsidR="0040474D">
        <w:rPr>
          <w:b/>
        </w:rPr>
        <w:t>és</w:t>
      </w:r>
      <w:r w:rsidR="007D6A82" w:rsidRPr="00431DD0">
        <w:rPr>
          <w:b/>
        </w:rPr>
        <w:t xml:space="preserve"> du contrôle</w:t>
      </w:r>
      <w:r w:rsidR="007D6A82">
        <w:t xml:space="preserve"> </w:t>
      </w:r>
      <w:r w:rsidR="001E5871">
        <w:t xml:space="preserve">les </w:t>
      </w:r>
      <w:r w:rsidR="008D3926">
        <w:t>titulaires d’une autorisation d</w:t>
      </w:r>
      <w:r w:rsidR="00E34FA3">
        <w:t>’achat pour revente d’électricité ou de fourniture de gaz naturel</w:t>
      </w:r>
      <w:r w:rsidR="00BE1935">
        <w:t> </w:t>
      </w:r>
      <w:r w:rsidR="006F458F">
        <w:t xml:space="preserve">: </w:t>
      </w:r>
    </w:p>
    <w:p w14:paraId="6042800B" w14:textId="05DD6C46" w:rsidR="006F458F" w:rsidRDefault="00750984" w:rsidP="006F47EE">
      <w:pPr>
        <w:pStyle w:val="Corpsdetexte"/>
        <w:numPr>
          <w:ilvl w:val="0"/>
          <w:numId w:val="106"/>
        </w:numPr>
      </w:pPr>
      <w:proofErr w:type="gramStart"/>
      <w:r>
        <w:t>non</w:t>
      </w:r>
      <w:proofErr w:type="gramEnd"/>
      <w:r>
        <w:t xml:space="preserve"> engagés</w:t>
      </w:r>
      <w:r w:rsidR="00CF0E3B">
        <w:t xml:space="preserve"> </w:t>
      </w:r>
      <w:r w:rsidR="00E15BC7">
        <w:t>à fournir</w:t>
      </w:r>
      <w:r w:rsidR="4C31C32C">
        <w:t xml:space="preserve"> au moins</w:t>
      </w:r>
      <w:r w:rsidR="00E15BC7">
        <w:t xml:space="preserve"> </w:t>
      </w:r>
      <w:r w:rsidR="007D6A82">
        <w:t xml:space="preserve">un </w:t>
      </w:r>
      <w:r w:rsidR="00E15BC7">
        <w:t>consommateur final</w:t>
      </w:r>
      <w:r w:rsidR="006F47EE">
        <w:t xml:space="preserve"> ou </w:t>
      </w:r>
      <w:r w:rsidR="006F458F">
        <w:t>e</w:t>
      </w:r>
      <w:r w:rsidR="00E34FA3">
        <w:t>xclusivement engagés</w:t>
      </w:r>
      <w:r w:rsidR="00A63985">
        <w:t xml:space="preserve"> </w:t>
      </w:r>
      <w:r w:rsidR="0071146C">
        <w:t xml:space="preserve">dans des contrats de fourniture </w:t>
      </w:r>
      <w:r w:rsidR="00A63985">
        <w:t xml:space="preserve">auprès </w:t>
      </w:r>
      <w:r w:rsidR="0071146C">
        <w:t>d’entreprises leur étant lié</w:t>
      </w:r>
      <w:r w:rsidR="00CF0E3B">
        <w:t>es</w:t>
      </w:r>
      <w:r w:rsidR="00CC4AC8" w:rsidRPr="302B9FF8">
        <w:rPr>
          <w:rStyle w:val="Appelnotedebasdep"/>
        </w:rPr>
        <w:footnoteReference w:id="4"/>
      </w:r>
      <w:r w:rsidR="00ED2BA5">
        <w:t>, puisque</w:t>
      </w:r>
      <w:r w:rsidR="5134BE66">
        <w:t>, dans ces deux cas,</w:t>
      </w:r>
      <w:r w:rsidR="00ED2BA5">
        <w:t xml:space="preserve"> le fournisseur ne porte aucun</w:t>
      </w:r>
      <w:r w:rsidR="0051166F">
        <w:t xml:space="preserve"> engagement de fourniture</w:t>
      </w:r>
      <w:r w:rsidR="00DA30E0">
        <w:t xml:space="preserve"> auprès </w:t>
      </w:r>
      <w:r w:rsidR="00677653">
        <w:t>de consommateurs</w:t>
      </w:r>
      <w:r w:rsidR="008F0E21">
        <w:t xml:space="preserve"> </w:t>
      </w:r>
      <w:r w:rsidR="37798B8A">
        <w:t xml:space="preserve">finals </w:t>
      </w:r>
      <w:r w:rsidR="008F0E21">
        <w:t>tiers</w:t>
      </w:r>
      <w:r w:rsidR="007141DC">
        <w:t> ;</w:t>
      </w:r>
      <w:r w:rsidR="008F0E21">
        <w:t xml:space="preserve"> </w:t>
      </w:r>
    </w:p>
    <w:p w14:paraId="317E7241" w14:textId="04E4A258" w:rsidR="000D119D" w:rsidRDefault="00E34FA3" w:rsidP="00431DD0">
      <w:pPr>
        <w:pStyle w:val="Corpsdetexte"/>
        <w:numPr>
          <w:ilvl w:val="0"/>
          <w:numId w:val="106"/>
        </w:numPr>
        <w:spacing w:line="259" w:lineRule="auto"/>
      </w:pPr>
      <w:proofErr w:type="gramStart"/>
      <w:r>
        <w:t>exclusivement</w:t>
      </w:r>
      <w:proofErr w:type="gramEnd"/>
      <w:r>
        <w:t xml:space="preserve"> engagés</w:t>
      </w:r>
      <w:r w:rsidR="009F5C82">
        <w:t xml:space="preserve"> dans des contrats de fourniture</w:t>
      </w:r>
      <w:r w:rsidR="00887F93">
        <w:t xml:space="preserve"> sur</w:t>
      </w:r>
      <w:r w:rsidR="00BB27A5">
        <w:t xml:space="preserve"> </w:t>
      </w:r>
      <w:r w:rsidR="5B7C9507">
        <w:t>la zone de dessert</w:t>
      </w:r>
      <w:r w:rsidR="00BB27A5">
        <w:t>e</w:t>
      </w:r>
      <w:r w:rsidR="5B7C9507">
        <w:t xml:space="preserve"> d’une entreprise locale de distribution</w:t>
      </w:r>
      <w:r w:rsidR="5A16F657">
        <w:t xml:space="preserve"> possédant moins de 100 000 clients</w:t>
      </w:r>
      <w:r w:rsidR="000E24C6">
        <w:t xml:space="preserve">. Ces </w:t>
      </w:r>
      <w:r w:rsidR="00A265D1">
        <w:t xml:space="preserve">fournisseurs locaux sont </w:t>
      </w:r>
      <w:r w:rsidR="000E24C6">
        <w:t xml:space="preserve">souvent </w:t>
      </w:r>
      <w:r w:rsidR="00A265D1">
        <w:t>en monopole</w:t>
      </w:r>
      <w:r w:rsidR="000E24C6">
        <w:t xml:space="preserve"> ou en quasi-monopole de fait</w:t>
      </w:r>
      <w:r w:rsidR="00A265D1">
        <w:t xml:space="preserve"> sur leur zone géographique </w:t>
      </w:r>
      <w:r w:rsidR="005C5794">
        <w:t>et</w:t>
      </w:r>
      <w:r w:rsidR="008A47F7">
        <w:t xml:space="preserve">, </w:t>
      </w:r>
      <w:r w:rsidR="1D17E20E">
        <w:t xml:space="preserve">s’agissant d’acteurs pour la plupart parapublics, </w:t>
      </w:r>
      <w:r w:rsidR="0005502F">
        <w:t>leur</w:t>
      </w:r>
      <w:r w:rsidR="008A47F7">
        <w:t xml:space="preserve"> </w:t>
      </w:r>
      <w:r w:rsidR="0093702E">
        <w:t xml:space="preserve">défaillance </w:t>
      </w:r>
      <w:r w:rsidR="05740E9D">
        <w:t xml:space="preserve">apparaît </w:t>
      </w:r>
      <w:r w:rsidR="5B10FF49">
        <w:t>peu probable.</w:t>
      </w:r>
    </w:p>
    <w:p w14:paraId="15D7D67B" w14:textId="5C646C69" w:rsidR="00887F93" w:rsidRPr="00842452" w:rsidRDefault="00887F93" w:rsidP="00431DD0">
      <w:pPr>
        <w:pStyle w:val="Corpsdetexte"/>
        <w:spacing w:line="259" w:lineRule="auto"/>
        <w:rPr>
          <w:b/>
        </w:rPr>
      </w:pPr>
      <w:r>
        <w:t xml:space="preserve">Ainsi, les acteurs </w:t>
      </w:r>
      <w:r w:rsidR="38CADC23">
        <w:t>concernés par le mécanisme de régulation prudentielle</w:t>
      </w:r>
      <w:r>
        <w:t xml:space="preserve"> </w:t>
      </w:r>
      <w:r w:rsidR="00B16739">
        <w:t xml:space="preserve">sont </w:t>
      </w:r>
      <w:r w:rsidR="007406DA" w:rsidRPr="302B9FF8">
        <w:rPr>
          <w:b/>
          <w:bCs/>
        </w:rPr>
        <w:t xml:space="preserve">les </w:t>
      </w:r>
      <w:r w:rsidR="006D2240" w:rsidRPr="302B9FF8">
        <w:rPr>
          <w:b/>
          <w:bCs/>
        </w:rPr>
        <w:t xml:space="preserve">titulaires d’une autorisation </w:t>
      </w:r>
      <w:r w:rsidR="00E560C1" w:rsidRPr="302B9FF8">
        <w:rPr>
          <w:b/>
          <w:bCs/>
        </w:rPr>
        <w:t xml:space="preserve">d’achat pour revente d’électricité </w:t>
      </w:r>
      <w:r w:rsidR="00A23FBF" w:rsidRPr="302B9FF8">
        <w:rPr>
          <w:b/>
          <w:bCs/>
        </w:rPr>
        <w:t>ou de fourniture de gaz naturel</w:t>
      </w:r>
      <w:r w:rsidR="006D2240" w:rsidRPr="302B9FF8">
        <w:rPr>
          <w:b/>
          <w:bCs/>
        </w:rPr>
        <w:t xml:space="preserve"> </w:t>
      </w:r>
      <w:r w:rsidR="00384BF2" w:rsidRPr="302B9FF8">
        <w:rPr>
          <w:b/>
          <w:bCs/>
        </w:rPr>
        <w:t xml:space="preserve">(i) </w:t>
      </w:r>
      <w:r w:rsidR="00EB6EDC" w:rsidRPr="302B9FF8">
        <w:rPr>
          <w:b/>
          <w:bCs/>
        </w:rPr>
        <w:t xml:space="preserve">engagés dans </w:t>
      </w:r>
      <w:r w:rsidR="00A235DA" w:rsidRPr="302B9FF8">
        <w:rPr>
          <w:b/>
          <w:bCs/>
        </w:rPr>
        <w:t>un contrat de fourniture auprès d’</w:t>
      </w:r>
      <w:r w:rsidR="158AF3AC" w:rsidRPr="302B9FF8">
        <w:rPr>
          <w:b/>
          <w:bCs/>
        </w:rPr>
        <w:t xml:space="preserve">au moins </w:t>
      </w:r>
      <w:r w:rsidR="00A235DA" w:rsidRPr="302B9FF8">
        <w:rPr>
          <w:b/>
          <w:bCs/>
        </w:rPr>
        <w:t>un consommateur final ne leur étant pas lié</w:t>
      </w:r>
      <w:r w:rsidR="003D58BB" w:rsidRPr="302B9FF8">
        <w:rPr>
          <w:b/>
          <w:bCs/>
        </w:rPr>
        <w:t>,</w:t>
      </w:r>
      <w:r w:rsidR="002D0D1D" w:rsidRPr="302B9FF8">
        <w:rPr>
          <w:b/>
          <w:bCs/>
        </w:rPr>
        <w:t xml:space="preserve"> </w:t>
      </w:r>
      <w:r w:rsidR="00003BFA" w:rsidRPr="302B9FF8">
        <w:rPr>
          <w:b/>
          <w:bCs/>
        </w:rPr>
        <w:t>et</w:t>
      </w:r>
      <w:r w:rsidR="006D15FE" w:rsidRPr="302B9FF8">
        <w:rPr>
          <w:b/>
          <w:bCs/>
        </w:rPr>
        <w:t xml:space="preserve"> </w:t>
      </w:r>
      <w:r w:rsidR="00384BF2" w:rsidRPr="302B9FF8">
        <w:rPr>
          <w:b/>
          <w:bCs/>
        </w:rPr>
        <w:t>(ii)</w:t>
      </w:r>
      <w:r w:rsidR="006D15FE" w:rsidRPr="302B9FF8">
        <w:rPr>
          <w:b/>
          <w:bCs/>
        </w:rPr>
        <w:t xml:space="preserve"> </w:t>
      </w:r>
      <w:r w:rsidR="002238D7" w:rsidRPr="302B9FF8">
        <w:rPr>
          <w:b/>
          <w:bCs/>
        </w:rPr>
        <w:t xml:space="preserve">possédant plus de 100 000 clients </w:t>
      </w:r>
      <w:r w:rsidR="00C62503" w:rsidRPr="302B9FF8">
        <w:rPr>
          <w:b/>
          <w:bCs/>
        </w:rPr>
        <w:t xml:space="preserve">dans le cas </w:t>
      </w:r>
      <w:r w:rsidR="00C62503" w:rsidRPr="007B5EBA">
        <w:rPr>
          <w:b/>
          <w:bCs/>
        </w:rPr>
        <w:t>où</w:t>
      </w:r>
      <w:r w:rsidR="002238D7" w:rsidRPr="007B5EBA">
        <w:rPr>
          <w:b/>
          <w:bCs/>
        </w:rPr>
        <w:t xml:space="preserve"> </w:t>
      </w:r>
      <w:r w:rsidR="000E24C6" w:rsidRPr="007B5EBA">
        <w:rPr>
          <w:b/>
          <w:bCs/>
        </w:rPr>
        <w:t xml:space="preserve">leurs </w:t>
      </w:r>
      <w:r w:rsidR="003A2DBA" w:rsidRPr="007B5EBA">
        <w:rPr>
          <w:b/>
          <w:bCs/>
        </w:rPr>
        <w:t xml:space="preserve">contrats de fourniture se limitent </w:t>
      </w:r>
      <w:r w:rsidR="6303532B" w:rsidRPr="007B5EBA">
        <w:rPr>
          <w:b/>
          <w:bCs/>
        </w:rPr>
        <w:t xml:space="preserve">exclusivement </w:t>
      </w:r>
      <w:r w:rsidR="003A2DBA" w:rsidRPr="007B5EBA">
        <w:rPr>
          <w:b/>
          <w:bCs/>
        </w:rPr>
        <w:t>à une zone locale de distribution donnée.</w:t>
      </w:r>
    </w:p>
    <w:p w14:paraId="405AD43E" w14:textId="5234B4FA" w:rsidR="00CD7BB2" w:rsidRPr="00842452" w:rsidRDefault="007B5EBA" w:rsidP="00CD7BB2">
      <w:pPr>
        <w:pStyle w:val="Corpsdetexte"/>
      </w:pPr>
      <w:r w:rsidRPr="00842452">
        <w:t>L</w:t>
      </w:r>
      <w:r w:rsidR="00CD7BB2" w:rsidRPr="00842452">
        <w:t xml:space="preserve">es </w:t>
      </w:r>
      <w:r w:rsidRPr="00842452">
        <w:t>act</w:t>
      </w:r>
      <w:r w:rsidR="00CD7BB2" w:rsidRPr="00842452">
        <w:t xml:space="preserve">eurs concernés sont tenus de participer, en application d’un régime transitoire, aux guichets ultérieurs en transmettant à la CRE au moyen de systèmes sécurisés les éléments décrit en Annexe </w:t>
      </w:r>
      <w:r w:rsidR="00643316" w:rsidRPr="00842452">
        <w:t>1</w:t>
      </w:r>
      <w:r w:rsidR="00CD7BB2" w:rsidRPr="00842452">
        <w:t xml:space="preserve">. </w:t>
      </w:r>
    </w:p>
    <w:p w14:paraId="778D3639" w14:textId="4D2DA9A4" w:rsidR="00CD7BB2" w:rsidRDefault="00CD7BB2" w:rsidP="00CD7BB2">
      <w:pPr>
        <w:pStyle w:val="Corpsdetexte"/>
      </w:pPr>
      <w:r w:rsidRPr="00842452">
        <w:t>Pour l’ensemble des guichets ultérieurs du régime transitoire</w:t>
      </w:r>
      <w:r w:rsidR="00B12336" w:rsidRPr="00842452">
        <w:t>, les fournisseurs</w:t>
      </w:r>
      <w:r w:rsidR="00674266" w:rsidRPr="00842452">
        <w:t xml:space="preserve"> devront</w:t>
      </w:r>
      <w:r w:rsidR="001145D0" w:rsidRPr="00842452">
        <w:t>,</w:t>
      </w:r>
      <w:r w:rsidR="00674266" w:rsidRPr="00842452">
        <w:t xml:space="preserve"> de leur propre initiative, transmettre les informations requises via le système sécurisé avant la date de clôture du guichet concerné. Cela signifie que les fournisseurs éligibles ne seront pas contactés en première instance par la CRE : ils devront eux-mêmes saisir les données de surveillance sur le système sécurisé avant la date de clôture du guichet concerné.</w:t>
      </w:r>
    </w:p>
    <w:p w14:paraId="0B4EB73F" w14:textId="77777777" w:rsidR="00E37CF8" w:rsidRDefault="00E37CF8" w:rsidP="00431DD0">
      <w:pPr>
        <w:pStyle w:val="Corpsdetexte"/>
        <w:spacing w:line="259" w:lineRule="auto"/>
      </w:pPr>
    </w:p>
    <w:p w14:paraId="125D0179" w14:textId="008D1BEC" w:rsidR="009D146D" w:rsidRPr="00842452" w:rsidRDefault="00716406" w:rsidP="008B4A2B">
      <w:pPr>
        <w:pStyle w:val="Titre3"/>
        <w:rPr>
          <w:lang w:val="fr-FR"/>
        </w:rPr>
      </w:pPr>
      <w:bookmarkStart w:id="14" w:name="_Toc228871363"/>
      <w:bookmarkStart w:id="15" w:name="_Toc232094729"/>
      <w:bookmarkEnd w:id="14"/>
      <w:r w:rsidRPr="00842452">
        <w:rPr>
          <w:lang w:val="fr-FR"/>
        </w:rPr>
        <w:t>Contrats constituant un engagement auprès du consommateur</w:t>
      </w:r>
      <w:bookmarkEnd w:id="15"/>
    </w:p>
    <w:p w14:paraId="2D843BA3" w14:textId="193F5797" w:rsidR="00533C26" w:rsidRDefault="0040474D" w:rsidP="00C92236">
      <w:pPr>
        <w:pStyle w:val="Corpsdetexte"/>
      </w:pPr>
      <w:r>
        <w:t>Le</w:t>
      </w:r>
      <w:r w:rsidR="00440388" w:rsidRPr="00440388">
        <w:t xml:space="preserve"> contrôle de couverture </w:t>
      </w:r>
      <w:r>
        <w:t xml:space="preserve">est défini </w:t>
      </w:r>
      <w:r w:rsidR="00440388" w:rsidRPr="00440388">
        <w:t xml:space="preserve">par l’évaluation de l’adéquation entre les volumes concernés par un engagement contractuel du fournisseur en prix fixe ou en schéma d’approvisionnement auprès de ses clients d’une part, et les pratiques de couverture réelles du fournisseur pour honorer ces engagements, d’autre part. </w:t>
      </w:r>
    </w:p>
    <w:p w14:paraId="3739327B" w14:textId="60FE9E1F" w:rsidR="003A217A" w:rsidRDefault="00440388" w:rsidP="00C92236">
      <w:pPr>
        <w:pStyle w:val="Corpsdetexte"/>
      </w:pPr>
      <w:r w:rsidRPr="00440388">
        <w:t xml:space="preserve">Le cadre prudentiel </w:t>
      </w:r>
      <w:r w:rsidR="00713CFD">
        <w:t>envisagé</w:t>
      </w:r>
      <w:r w:rsidR="0040474D">
        <w:t xml:space="preserve"> par</w:t>
      </w:r>
      <w:r w:rsidRPr="00440388">
        <w:t xml:space="preserve"> la CRE ne se </w:t>
      </w:r>
      <w:r w:rsidR="006606B5">
        <w:t>limit</w:t>
      </w:r>
      <w:r w:rsidR="683133C7">
        <w:t>e</w:t>
      </w:r>
      <w:r w:rsidR="000C06F5">
        <w:t xml:space="preserve"> </w:t>
      </w:r>
      <w:r w:rsidR="009E6239">
        <w:t xml:space="preserve">donc </w:t>
      </w:r>
      <w:r w:rsidRPr="00440388">
        <w:t xml:space="preserve">pas </w:t>
      </w:r>
      <w:r w:rsidR="009E6239">
        <w:t xml:space="preserve">seulement </w:t>
      </w:r>
      <w:r w:rsidRPr="00440388">
        <w:t xml:space="preserve">au contrôle des offres à prix fixe, </w:t>
      </w:r>
      <w:r w:rsidR="00621501">
        <w:t>dans la mesure où</w:t>
      </w:r>
      <w:r w:rsidR="00621501" w:rsidRPr="00440388">
        <w:t xml:space="preserve"> </w:t>
      </w:r>
      <w:r w:rsidRPr="00440388">
        <w:t>le marché français comporte une diversité d’offres (</w:t>
      </w:r>
      <w:r w:rsidR="00823AD1">
        <w:t xml:space="preserve">par exemple offre </w:t>
      </w:r>
      <w:r w:rsidRPr="00440388">
        <w:t xml:space="preserve">à clic, </w:t>
      </w:r>
      <w:r w:rsidR="00823AD1">
        <w:t xml:space="preserve">offre </w:t>
      </w:r>
      <w:r w:rsidR="00823AD1" w:rsidRPr="00440388">
        <w:t>indexée</w:t>
      </w:r>
      <w:r w:rsidRPr="00440388">
        <w:t xml:space="preserve"> sur une référence lissée</w:t>
      </w:r>
      <w:r w:rsidR="00823AD1">
        <w:t>, etc.</w:t>
      </w:r>
      <w:r w:rsidRPr="00440388">
        <w:t xml:space="preserve">) </w:t>
      </w:r>
      <w:r w:rsidR="00823AD1">
        <w:t>qui mettent</w:t>
      </w:r>
      <w:r w:rsidRPr="00440388">
        <w:t xml:space="preserve"> autant à risque le fournisseur en cas de déficit de couverture par rapport à ses engagements. </w:t>
      </w:r>
    </w:p>
    <w:p w14:paraId="2DA2F0BF" w14:textId="59F17C64" w:rsidR="000B4BE7" w:rsidRDefault="000B4BE7" w:rsidP="00C92236">
      <w:pPr>
        <w:pStyle w:val="Corpsdetexte"/>
      </w:pPr>
      <w:r>
        <w:t xml:space="preserve">La CRE </w:t>
      </w:r>
      <w:r w:rsidR="002537D1">
        <w:t xml:space="preserve">identifie </w:t>
      </w:r>
      <w:r w:rsidR="000D398D">
        <w:t xml:space="preserve">un </w:t>
      </w:r>
      <w:r w:rsidR="005269EE">
        <w:t xml:space="preserve">engagement contractuel </w:t>
      </w:r>
      <w:r w:rsidR="000D398D">
        <w:t xml:space="preserve">pour les </w:t>
      </w:r>
      <w:r w:rsidR="00685BC8">
        <w:t>types de contrats</w:t>
      </w:r>
      <w:r>
        <w:t xml:space="preserve"> </w:t>
      </w:r>
      <w:r w:rsidR="005269EE">
        <w:t>respectant les critères suivants</w:t>
      </w:r>
      <w:r w:rsidR="00BE1935">
        <w:t> </w:t>
      </w:r>
      <w:r>
        <w:t>:</w:t>
      </w:r>
      <w:r w:rsidR="00685BC8">
        <w:t xml:space="preserve"> </w:t>
      </w:r>
    </w:p>
    <w:p w14:paraId="131A418F" w14:textId="636EA558" w:rsidR="00242B9F" w:rsidRPr="00611CE2" w:rsidRDefault="005E61F5" w:rsidP="00055399">
      <w:pPr>
        <w:pStyle w:val="Corpsdetexte"/>
        <w:numPr>
          <w:ilvl w:val="1"/>
          <w:numId w:val="39"/>
        </w:numPr>
        <w:tabs>
          <w:tab w:val="clear" w:pos="1440"/>
        </w:tabs>
        <w:ind w:left="567" w:hanging="283"/>
      </w:pPr>
      <w:r>
        <w:t>Le contrat</w:t>
      </w:r>
      <w:r w:rsidR="00794D07">
        <w:t xml:space="preserve"> implique un </w:t>
      </w:r>
      <w:r w:rsidR="00794D07" w:rsidRPr="00611CE2">
        <w:rPr>
          <w:u w:val="single"/>
        </w:rPr>
        <w:t>consommateur final non lié au vendeur</w:t>
      </w:r>
      <w:r w:rsidR="007E7B43">
        <w:rPr>
          <w:u w:val="single"/>
        </w:rPr>
        <w:t>.</w:t>
      </w:r>
    </w:p>
    <w:p w14:paraId="4DF6BBC7" w14:textId="203DEFE2" w:rsidR="00337F30" w:rsidRPr="00431DD0" w:rsidRDefault="00055399" w:rsidP="00611CE2">
      <w:pPr>
        <w:pStyle w:val="Corpsdetexte"/>
        <w:spacing w:after="0"/>
        <w:ind w:left="284"/>
      </w:pPr>
      <w:r w:rsidRPr="00431DD0">
        <w:rPr>
          <w:rFonts w:eastAsiaTheme="minorEastAsia"/>
          <w:szCs w:val="20"/>
        </w:rPr>
        <w:t>Cela exclut</w:t>
      </w:r>
      <w:r w:rsidR="00BE1935">
        <w:rPr>
          <w:rFonts w:eastAsiaTheme="minorEastAsia"/>
          <w:szCs w:val="20"/>
        </w:rPr>
        <w:t> </w:t>
      </w:r>
      <w:r w:rsidRPr="00431DD0">
        <w:rPr>
          <w:rFonts w:eastAsiaTheme="minorEastAsia"/>
          <w:szCs w:val="20"/>
        </w:rPr>
        <w:t xml:space="preserve">: </w:t>
      </w:r>
    </w:p>
    <w:p w14:paraId="39C938BF" w14:textId="032865A1" w:rsidR="0029328F" w:rsidRPr="00611CE2" w:rsidRDefault="0029328F" w:rsidP="00611CE2">
      <w:pPr>
        <w:pStyle w:val="Corpsdetexte"/>
        <w:numPr>
          <w:ilvl w:val="0"/>
          <w:numId w:val="43"/>
        </w:numPr>
        <w:spacing w:after="0"/>
        <w:ind w:left="568" w:hanging="284"/>
      </w:pPr>
      <w:proofErr w:type="gramStart"/>
      <w:r w:rsidRPr="00431DD0">
        <w:rPr>
          <w:rFonts w:eastAsiaTheme="minorEastAsia"/>
          <w:szCs w:val="20"/>
        </w:rPr>
        <w:t>les</w:t>
      </w:r>
      <w:proofErr w:type="gramEnd"/>
      <w:r w:rsidRPr="00431DD0">
        <w:rPr>
          <w:rFonts w:eastAsiaTheme="minorEastAsia"/>
          <w:szCs w:val="20"/>
        </w:rPr>
        <w:t xml:space="preserve"> contrats de fourniture de consommateurs finaux ayant choisi de déléguer la fourniture de leur énergie à une filiale</w:t>
      </w:r>
      <w:r w:rsidR="00BE1935">
        <w:rPr>
          <w:rFonts w:eastAsiaTheme="minorEastAsia"/>
          <w:szCs w:val="20"/>
        </w:rPr>
        <w:t> </w:t>
      </w:r>
      <w:r w:rsidRPr="00431DD0">
        <w:rPr>
          <w:rFonts w:eastAsiaTheme="minorEastAsia"/>
          <w:szCs w:val="20"/>
        </w:rPr>
        <w:t>;</w:t>
      </w:r>
    </w:p>
    <w:p w14:paraId="7792C396" w14:textId="3FCF91A1" w:rsidR="0029328F" w:rsidRPr="00431DD0" w:rsidRDefault="0029328F" w:rsidP="7080FB27">
      <w:pPr>
        <w:pStyle w:val="Paragraphedeliste"/>
        <w:numPr>
          <w:ilvl w:val="0"/>
          <w:numId w:val="43"/>
        </w:numPr>
        <w:spacing w:after="0"/>
        <w:ind w:left="568" w:hanging="284"/>
        <w:jc w:val="left"/>
      </w:pPr>
      <w:proofErr w:type="gramStart"/>
      <w:r w:rsidRPr="00431DD0">
        <w:rPr>
          <w:rFonts w:eastAsiaTheme="minorEastAsia"/>
          <w:szCs w:val="20"/>
        </w:rPr>
        <w:t>les</w:t>
      </w:r>
      <w:proofErr w:type="gramEnd"/>
      <w:r w:rsidRPr="00431DD0">
        <w:rPr>
          <w:rFonts w:eastAsiaTheme="minorEastAsia"/>
          <w:szCs w:val="20"/>
        </w:rPr>
        <w:t xml:space="preserve"> contrats d’approvisionnement </w:t>
      </w:r>
      <w:r w:rsidR="00200BB3">
        <w:rPr>
          <w:rFonts w:eastAsiaTheme="minorEastAsia"/>
          <w:szCs w:val="20"/>
        </w:rPr>
        <w:t>(</w:t>
      </w:r>
      <w:r w:rsidR="00734E21">
        <w:rPr>
          <w:rFonts w:eastAsiaTheme="minorEastAsia"/>
          <w:szCs w:val="20"/>
        </w:rPr>
        <w:t>contrats d’achat direct d’électricité ou de gaz</w:t>
      </w:r>
      <w:r w:rsidR="00200BB3">
        <w:rPr>
          <w:rFonts w:eastAsiaTheme="minorEastAsia"/>
          <w:szCs w:val="20"/>
        </w:rPr>
        <w:t xml:space="preserve">) </w:t>
      </w:r>
      <w:r w:rsidRPr="00431DD0">
        <w:rPr>
          <w:rFonts w:eastAsiaTheme="minorEastAsia"/>
          <w:szCs w:val="20"/>
        </w:rPr>
        <w:t>avec des revendeurs type fournisseurs/agrégateurs/traders</w:t>
      </w:r>
      <w:r w:rsidR="00BE1935">
        <w:rPr>
          <w:rFonts w:eastAsiaTheme="minorEastAsia"/>
          <w:szCs w:val="20"/>
        </w:rPr>
        <w:t> </w:t>
      </w:r>
      <w:r w:rsidRPr="00431DD0">
        <w:rPr>
          <w:rFonts w:eastAsiaTheme="minorEastAsia"/>
          <w:szCs w:val="20"/>
        </w:rPr>
        <w:t>;</w:t>
      </w:r>
    </w:p>
    <w:p w14:paraId="70B8546A" w14:textId="08BB52B0" w:rsidR="00E321D6" w:rsidRPr="00431DD0" w:rsidRDefault="0029328F" w:rsidP="7080FB27">
      <w:pPr>
        <w:pStyle w:val="Paragraphedeliste"/>
        <w:numPr>
          <w:ilvl w:val="0"/>
          <w:numId w:val="43"/>
        </w:numPr>
        <w:spacing w:after="0"/>
        <w:ind w:left="568" w:hanging="284"/>
        <w:jc w:val="left"/>
      </w:pPr>
      <w:proofErr w:type="gramStart"/>
      <w:r w:rsidRPr="00431DD0">
        <w:rPr>
          <w:rFonts w:eastAsiaTheme="minorEastAsia"/>
          <w:szCs w:val="20"/>
        </w:rPr>
        <w:t>l’approvisionnement</w:t>
      </w:r>
      <w:proofErr w:type="gramEnd"/>
      <w:r w:rsidRPr="00431DD0">
        <w:rPr>
          <w:rFonts w:eastAsiaTheme="minorEastAsia"/>
          <w:szCs w:val="20"/>
        </w:rPr>
        <w:t xml:space="preserve"> aux gestionnaires de réseau pour leurs pertes.</w:t>
      </w:r>
    </w:p>
    <w:p w14:paraId="690A3D87" w14:textId="6CD635C8" w:rsidR="002537D1" w:rsidRPr="00D340EE" w:rsidRDefault="005E61F5" w:rsidP="00611CE2">
      <w:pPr>
        <w:pStyle w:val="Corpsdetexte"/>
        <w:numPr>
          <w:ilvl w:val="1"/>
          <w:numId w:val="39"/>
        </w:numPr>
        <w:tabs>
          <w:tab w:val="clear" w:pos="1440"/>
        </w:tabs>
        <w:spacing w:before="240"/>
        <w:ind w:left="568" w:hanging="284"/>
      </w:pPr>
      <w:r>
        <w:rPr>
          <w:u w:val="single"/>
        </w:rPr>
        <w:lastRenderedPageBreak/>
        <w:t>Le contrat</w:t>
      </w:r>
      <w:r w:rsidR="002537D1" w:rsidRPr="002537D1">
        <w:rPr>
          <w:u w:val="single"/>
        </w:rPr>
        <w:t xml:space="preserve"> engage le vendeur – à signature ou postérieurement – à fournir un volume fixe ou dépendant de la consommation finale du co-contractant. </w:t>
      </w:r>
    </w:p>
    <w:p w14:paraId="72923AC0" w14:textId="1912938D" w:rsidR="00D02DF6" w:rsidRPr="00431DD0" w:rsidRDefault="00D02DF6" w:rsidP="00431DD0">
      <w:pPr>
        <w:pStyle w:val="Corpsdetexte"/>
        <w:spacing w:after="0" w:line="259" w:lineRule="auto"/>
        <w:ind w:left="284"/>
        <w:rPr>
          <w:rFonts w:eastAsiaTheme="minorEastAsia"/>
          <w:szCs w:val="20"/>
        </w:rPr>
      </w:pPr>
      <w:r w:rsidRPr="00431DD0">
        <w:rPr>
          <w:rFonts w:eastAsiaTheme="minorEastAsia"/>
          <w:szCs w:val="20"/>
        </w:rPr>
        <w:t>Cela exclut</w:t>
      </w:r>
      <w:r w:rsidR="00BE1935">
        <w:rPr>
          <w:rFonts w:eastAsiaTheme="minorEastAsia"/>
          <w:szCs w:val="20"/>
        </w:rPr>
        <w:t> </w:t>
      </w:r>
      <w:r w:rsidRPr="00431DD0">
        <w:rPr>
          <w:rFonts w:eastAsiaTheme="minorEastAsia"/>
          <w:szCs w:val="20"/>
        </w:rPr>
        <w:t>:</w:t>
      </w:r>
    </w:p>
    <w:p w14:paraId="6EE4DB65" w14:textId="78B34C54" w:rsidR="00D02DF6" w:rsidRPr="00431DD0" w:rsidRDefault="003E1DE2" w:rsidP="00431DD0">
      <w:pPr>
        <w:pStyle w:val="Corpsdetexte"/>
        <w:numPr>
          <w:ilvl w:val="0"/>
          <w:numId w:val="43"/>
        </w:numPr>
        <w:spacing w:after="0"/>
        <w:ind w:left="568" w:hanging="284"/>
        <w:rPr>
          <w:rFonts w:eastAsiaTheme="minorEastAsia"/>
          <w:szCs w:val="20"/>
        </w:rPr>
      </w:pPr>
      <w:proofErr w:type="gramStart"/>
      <w:r w:rsidRPr="00431DD0">
        <w:rPr>
          <w:rFonts w:eastAsiaTheme="minorEastAsia"/>
          <w:szCs w:val="20"/>
        </w:rPr>
        <w:t>les</w:t>
      </w:r>
      <w:proofErr w:type="gramEnd"/>
      <w:r w:rsidRPr="00431DD0">
        <w:rPr>
          <w:rFonts w:eastAsiaTheme="minorEastAsia"/>
          <w:szCs w:val="20"/>
        </w:rPr>
        <w:t xml:space="preserve"> contrats d’achat d’électricité</w:t>
      </w:r>
      <w:r w:rsidR="00BE585F" w:rsidRPr="00431DD0">
        <w:rPr>
          <w:rFonts w:eastAsiaTheme="minorEastAsia"/>
          <w:szCs w:val="20"/>
        </w:rPr>
        <w:t xml:space="preserve"> à long terme </w:t>
      </w:r>
      <w:r w:rsidR="00EA2FB9" w:rsidRPr="00431DD0">
        <w:rPr>
          <w:rFonts w:eastAsiaTheme="minorEastAsia"/>
          <w:szCs w:val="20"/>
        </w:rPr>
        <w:t>(PPA) de type</w:t>
      </w:r>
      <w:r w:rsidRPr="00431DD0">
        <w:rPr>
          <w:rFonts w:eastAsiaTheme="minorEastAsia"/>
          <w:szCs w:val="20"/>
        </w:rPr>
        <w:t xml:space="preserve"> « pay-as-produced »</w:t>
      </w:r>
      <w:r w:rsidR="00BE1935">
        <w:rPr>
          <w:rFonts w:eastAsiaTheme="minorEastAsia"/>
          <w:szCs w:val="20"/>
        </w:rPr>
        <w:t> </w:t>
      </w:r>
      <w:r w:rsidR="00624FD3">
        <w:rPr>
          <w:rFonts w:eastAsiaTheme="minorEastAsia"/>
          <w:szCs w:val="20"/>
        </w:rPr>
        <w:t>;</w:t>
      </w:r>
    </w:p>
    <w:p w14:paraId="2032D26A" w14:textId="297CD48C" w:rsidR="00D02DF6" w:rsidRPr="00431DD0" w:rsidRDefault="00C551AD" w:rsidP="00431DD0">
      <w:pPr>
        <w:pStyle w:val="Corpsdetexte"/>
        <w:numPr>
          <w:ilvl w:val="0"/>
          <w:numId w:val="43"/>
        </w:numPr>
        <w:spacing w:after="0"/>
        <w:ind w:left="568" w:hanging="284"/>
        <w:rPr>
          <w:rFonts w:eastAsiaTheme="minorEastAsia"/>
          <w:szCs w:val="20"/>
        </w:rPr>
      </w:pPr>
      <w:proofErr w:type="gramStart"/>
      <w:r w:rsidRPr="00431DD0">
        <w:rPr>
          <w:rFonts w:eastAsiaTheme="minorEastAsia"/>
          <w:szCs w:val="20"/>
        </w:rPr>
        <w:t>les</w:t>
      </w:r>
      <w:proofErr w:type="gramEnd"/>
      <w:r w:rsidRPr="00431DD0">
        <w:rPr>
          <w:rFonts w:eastAsiaTheme="minorEastAsia"/>
          <w:szCs w:val="20"/>
        </w:rPr>
        <w:t xml:space="preserve"> contrats d’approvisionnement ne permettant que des instructions du consommateur final </w:t>
      </w:r>
      <w:r w:rsidR="00481113" w:rsidRPr="00431DD0">
        <w:rPr>
          <w:rFonts w:eastAsiaTheme="minorEastAsia"/>
          <w:szCs w:val="20"/>
        </w:rPr>
        <w:t>fondées</w:t>
      </w:r>
      <w:r w:rsidRPr="00431DD0">
        <w:rPr>
          <w:rFonts w:eastAsiaTheme="minorEastAsia"/>
          <w:szCs w:val="20"/>
        </w:rPr>
        <w:t xml:space="preserve"> sur le prix (ex</w:t>
      </w:r>
      <w:r w:rsidR="00BE1935">
        <w:rPr>
          <w:rFonts w:eastAsiaTheme="minorEastAsia"/>
          <w:szCs w:val="20"/>
        </w:rPr>
        <w:t> </w:t>
      </w:r>
      <w:r w:rsidRPr="00431DD0">
        <w:rPr>
          <w:rFonts w:eastAsiaTheme="minorEastAsia"/>
          <w:szCs w:val="20"/>
        </w:rPr>
        <w:t>: stop-loss) sans engagement de volume</w:t>
      </w:r>
      <w:r w:rsidR="00624FD3">
        <w:rPr>
          <w:rFonts w:eastAsiaTheme="minorEastAsia"/>
          <w:szCs w:val="20"/>
        </w:rPr>
        <w:t>.</w:t>
      </w:r>
    </w:p>
    <w:p w14:paraId="48E75542" w14:textId="2BE27593" w:rsidR="002537D1" w:rsidRPr="00C95D16" w:rsidRDefault="002537D1" w:rsidP="00611CE2">
      <w:pPr>
        <w:pStyle w:val="Corpsdetexte"/>
        <w:numPr>
          <w:ilvl w:val="1"/>
          <w:numId w:val="39"/>
        </w:numPr>
        <w:tabs>
          <w:tab w:val="clear" w:pos="1440"/>
        </w:tabs>
        <w:spacing w:before="240"/>
        <w:ind w:left="568" w:hanging="284"/>
      </w:pPr>
      <w:r w:rsidRPr="002537D1">
        <w:t xml:space="preserve">Le </w:t>
      </w:r>
      <w:r w:rsidRPr="002537D1">
        <w:rPr>
          <w:u w:val="single"/>
        </w:rPr>
        <w:t>prix</w:t>
      </w:r>
      <w:r w:rsidRPr="002537D1">
        <w:t xml:space="preserve"> associé à la vente de ces volumes</w:t>
      </w:r>
      <w:r w:rsidR="004A3B3D" w:rsidRPr="00C340FC">
        <w:t>, entendu au périmètre de la part énergie</w:t>
      </w:r>
      <w:r w:rsidR="008706CD" w:rsidRPr="00C340FC">
        <w:t xml:space="preserve"> </w:t>
      </w:r>
      <w:r w:rsidR="008706CD" w:rsidRPr="00C340FC">
        <w:rPr>
          <w:i/>
        </w:rPr>
        <w:t>a minima</w:t>
      </w:r>
      <w:r w:rsidR="004A3B3D" w:rsidRPr="00C340FC">
        <w:t>,</w:t>
      </w:r>
      <w:r w:rsidR="004A3B3D">
        <w:t xml:space="preserve"> </w:t>
      </w:r>
      <w:r w:rsidRPr="002537D1">
        <w:t xml:space="preserve">est </w:t>
      </w:r>
      <w:r w:rsidRPr="002537D1">
        <w:rPr>
          <w:u w:val="single"/>
        </w:rPr>
        <w:t>déterminé ou majoré par un niveau fixe ou une formule reflétant au moins en partie un approvisionnement amont</w:t>
      </w:r>
      <w:r w:rsidR="003607F5">
        <w:rPr>
          <w:rStyle w:val="Appelnotedebasdep"/>
          <w:u w:val="single"/>
        </w:rPr>
        <w:footnoteReference w:id="5"/>
      </w:r>
      <w:r w:rsidRPr="002537D1">
        <w:rPr>
          <w:u w:val="single"/>
        </w:rPr>
        <w:t xml:space="preserve">. </w:t>
      </w:r>
    </w:p>
    <w:p w14:paraId="3C1131F9" w14:textId="79D2EF03" w:rsidR="0015205C" w:rsidRPr="00431DD0" w:rsidRDefault="0015205C" w:rsidP="00431DD0">
      <w:pPr>
        <w:pStyle w:val="Corpsdetexte"/>
        <w:spacing w:after="0" w:line="259" w:lineRule="auto"/>
        <w:ind w:left="284"/>
        <w:rPr>
          <w:rFonts w:eastAsiaTheme="minorEastAsia"/>
          <w:szCs w:val="20"/>
        </w:rPr>
      </w:pPr>
      <w:r w:rsidRPr="00431DD0">
        <w:rPr>
          <w:rFonts w:eastAsiaTheme="minorEastAsia"/>
          <w:szCs w:val="20"/>
        </w:rPr>
        <w:t>Cela exclut</w:t>
      </w:r>
      <w:r w:rsidR="00BE1935">
        <w:rPr>
          <w:rFonts w:eastAsiaTheme="minorEastAsia"/>
          <w:szCs w:val="20"/>
        </w:rPr>
        <w:t> </w:t>
      </w:r>
      <w:r w:rsidRPr="00431DD0">
        <w:rPr>
          <w:rFonts w:eastAsiaTheme="minorEastAsia"/>
          <w:szCs w:val="20"/>
        </w:rPr>
        <w:t>:</w:t>
      </w:r>
    </w:p>
    <w:p w14:paraId="3B70120D" w14:textId="2C284505" w:rsidR="00A57AEB" w:rsidRPr="00431DD0" w:rsidRDefault="00A57AEB" w:rsidP="00431DD0">
      <w:pPr>
        <w:pStyle w:val="Corpsdetexte"/>
        <w:numPr>
          <w:ilvl w:val="0"/>
          <w:numId w:val="43"/>
        </w:numPr>
        <w:spacing w:after="0"/>
        <w:ind w:left="568" w:hanging="284"/>
        <w:rPr>
          <w:rFonts w:eastAsiaTheme="minorEastAsia"/>
        </w:rPr>
      </w:pPr>
      <w:proofErr w:type="gramStart"/>
      <w:r w:rsidRPr="00431DD0">
        <w:rPr>
          <w:rFonts w:eastAsiaTheme="minorEastAsia"/>
        </w:rPr>
        <w:t>les</w:t>
      </w:r>
      <w:proofErr w:type="gramEnd"/>
      <w:r w:rsidRPr="00431DD0">
        <w:rPr>
          <w:rFonts w:eastAsiaTheme="minorEastAsia"/>
        </w:rPr>
        <w:t xml:space="preserve"> </w:t>
      </w:r>
      <w:r w:rsidR="00850F77" w:rsidRPr="00431DD0">
        <w:rPr>
          <w:rFonts w:eastAsiaTheme="minorEastAsia"/>
        </w:rPr>
        <w:t xml:space="preserve">offres de fourniture à prix dynamique (au sens </w:t>
      </w:r>
      <w:r w:rsidR="1C6E3445" w:rsidRPr="2BB69925">
        <w:rPr>
          <w:rFonts w:eastAsiaTheme="minorEastAsia"/>
        </w:rPr>
        <w:t>de la définition de l’article</w:t>
      </w:r>
      <w:r w:rsidR="41544038" w:rsidRPr="2BB69925">
        <w:rPr>
          <w:rFonts w:eastAsiaTheme="minorEastAsia"/>
        </w:rPr>
        <w:t xml:space="preserve"> L. 332-7 du code de l’énergie</w:t>
      </w:r>
      <w:r w:rsidR="00850F77" w:rsidRPr="00431DD0">
        <w:rPr>
          <w:rFonts w:eastAsiaTheme="minorEastAsia"/>
        </w:rPr>
        <w:t>)</w:t>
      </w:r>
      <w:r w:rsidR="00BE1935">
        <w:rPr>
          <w:rFonts w:eastAsiaTheme="minorEastAsia"/>
        </w:rPr>
        <w:t> </w:t>
      </w:r>
      <w:r w:rsidR="00076CB7" w:rsidRPr="2BB69925">
        <w:rPr>
          <w:rFonts w:eastAsiaTheme="minorEastAsia"/>
        </w:rPr>
        <w:t>;</w:t>
      </w:r>
    </w:p>
    <w:p w14:paraId="7D129950" w14:textId="53A6D45C" w:rsidR="00850F77" w:rsidRDefault="00850F77" w:rsidP="00431DD0">
      <w:pPr>
        <w:pStyle w:val="Corpsdetexte"/>
        <w:numPr>
          <w:ilvl w:val="0"/>
          <w:numId w:val="43"/>
        </w:numPr>
        <w:spacing w:after="0"/>
        <w:ind w:left="568" w:hanging="284"/>
        <w:rPr>
          <w:rFonts w:eastAsiaTheme="minorEastAsia"/>
        </w:rPr>
      </w:pPr>
      <w:proofErr w:type="gramStart"/>
      <w:r w:rsidRPr="00431DD0">
        <w:rPr>
          <w:rFonts w:eastAsiaTheme="minorEastAsia"/>
        </w:rPr>
        <w:t>les</w:t>
      </w:r>
      <w:proofErr w:type="gramEnd"/>
      <w:r w:rsidRPr="00431DD0">
        <w:rPr>
          <w:rFonts w:eastAsiaTheme="minorEastAsia"/>
        </w:rPr>
        <w:t xml:space="preserve"> offres de fourniture indexée</w:t>
      </w:r>
      <w:r w:rsidR="00A05418" w:rsidRPr="00431DD0">
        <w:rPr>
          <w:rFonts w:eastAsiaTheme="minorEastAsia"/>
        </w:rPr>
        <w:t>s</w:t>
      </w:r>
      <w:r w:rsidRPr="00431DD0">
        <w:rPr>
          <w:rFonts w:eastAsiaTheme="minorEastAsia"/>
        </w:rPr>
        <w:t xml:space="preserve"> sur une formule reflétant un approvisionnement de produits de maturité</w:t>
      </w:r>
      <w:r w:rsidR="00B863FA">
        <w:rPr>
          <w:rStyle w:val="Appelnotedebasdep"/>
          <w:rFonts w:eastAsiaTheme="minorEastAsia"/>
        </w:rPr>
        <w:footnoteReference w:id="6"/>
      </w:r>
      <w:r w:rsidRPr="00431DD0">
        <w:rPr>
          <w:rFonts w:eastAsiaTheme="minorEastAsia"/>
        </w:rPr>
        <w:t xml:space="preserve"> inférieure ou égal à 3 mois (ex</w:t>
      </w:r>
      <w:r w:rsidR="00BE1935">
        <w:rPr>
          <w:rFonts w:eastAsiaTheme="minorEastAsia"/>
        </w:rPr>
        <w:t> </w:t>
      </w:r>
      <w:r w:rsidRPr="00431DD0">
        <w:rPr>
          <w:rFonts w:eastAsiaTheme="minorEastAsia"/>
        </w:rPr>
        <w:t xml:space="preserve">: indexation </w:t>
      </w:r>
      <w:r w:rsidR="53FEA285" w:rsidRPr="2BB69925">
        <w:rPr>
          <w:rFonts w:eastAsiaTheme="minorEastAsia"/>
        </w:rPr>
        <w:t>sur le prix repère de vente de gaz de la CRE</w:t>
      </w:r>
      <w:r w:rsidRPr="00431DD0">
        <w:rPr>
          <w:rFonts w:eastAsiaTheme="minorEastAsia"/>
        </w:rPr>
        <w:t>)</w:t>
      </w:r>
      <w:r w:rsidR="00B42674">
        <w:rPr>
          <w:rFonts w:eastAsiaTheme="minorEastAsia"/>
        </w:rPr>
        <w:t> ;</w:t>
      </w:r>
    </w:p>
    <w:p w14:paraId="48302CC5" w14:textId="19270413" w:rsidR="00B42674" w:rsidRPr="00C340FC" w:rsidRDefault="00B42674" w:rsidP="00431DD0">
      <w:pPr>
        <w:pStyle w:val="Corpsdetexte"/>
        <w:numPr>
          <w:ilvl w:val="0"/>
          <w:numId w:val="43"/>
        </w:numPr>
        <w:spacing w:after="0"/>
        <w:ind w:left="568" w:hanging="284"/>
        <w:rPr>
          <w:rFonts w:eastAsiaTheme="minorEastAsia"/>
        </w:rPr>
      </w:pPr>
      <w:proofErr w:type="gramStart"/>
      <w:r w:rsidRPr="00C340FC">
        <w:rPr>
          <w:rFonts w:eastAsiaTheme="minorEastAsia"/>
        </w:rPr>
        <w:t>les</w:t>
      </w:r>
      <w:proofErr w:type="gramEnd"/>
      <w:r w:rsidRPr="00C340FC">
        <w:rPr>
          <w:rFonts w:eastAsiaTheme="minorEastAsia"/>
        </w:rPr>
        <w:t xml:space="preserve"> offres </w:t>
      </w:r>
      <w:r w:rsidR="006E35F5" w:rsidRPr="00842452">
        <w:rPr>
          <w:rFonts w:eastAsiaTheme="minorEastAsia"/>
        </w:rPr>
        <w:t>dont le niveau de</w:t>
      </w:r>
      <w:r w:rsidRPr="00C340FC">
        <w:rPr>
          <w:rFonts w:eastAsiaTheme="minorEastAsia"/>
        </w:rPr>
        <w:t xml:space="preserve"> prix </w:t>
      </w:r>
      <w:r w:rsidR="000C5865" w:rsidRPr="00842452">
        <w:rPr>
          <w:rFonts w:eastAsiaTheme="minorEastAsia"/>
        </w:rPr>
        <w:t xml:space="preserve">est </w:t>
      </w:r>
      <w:r w:rsidRPr="00C340FC">
        <w:rPr>
          <w:rFonts w:eastAsiaTheme="minorEastAsia"/>
        </w:rPr>
        <w:t>« fixe » ou « reposant sur une formule de prix amont » par défaut, mais dont la grille peut être modifiée à tout moment, dans le cas où les motifs d’évolution ne sont pas précisés ou incluent explicitement les coûts d’approvisionnement</w:t>
      </w:r>
      <w:r w:rsidRPr="00842452">
        <w:rPr>
          <w:rFonts w:eastAsiaTheme="minorEastAsia"/>
        </w:rPr>
        <w:t>.</w:t>
      </w:r>
    </w:p>
    <w:p w14:paraId="2414757D" w14:textId="301F221A" w:rsidR="7080FB27" w:rsidRDefault="7080FB27">
      <w:pPr>
        <w:pStyle w:val="Corpsdetexte"/>
      </w:pPr>
    </w:p>
    <w:p w14:paraId="26CA8806" w14:textId="422DB366" w:rsidR="002537D1" w:rsidRDefault="00F15742" w:rsidP="00C92236">
      <w:pPr>
        <w:pStyle w:val="Corpsdetexte"/>
      </w:pPr>
      <w:r>
        <w:t>Ainsi</w:t>
      </w:r>
      <w:r w:rsidR="0098338E">
        <w:t>,</w:t>
      </w:r>
      <w:r>
        <w:t xml:space="preserve"> </w:t>
      </w:r>
      <w:r w:rsidR="00A4402C">
        <w:t xml:space="preserve">les offres s’inscrivant </w:t>
      </w:r>
      <w:r w:rsidR="00D67E88">
        <w:t xml:space="preserve">dans ces critères peuvent </w:t>
      </w:r>
      <w:r w:rsidR="00344552">
        <w:t>être</w:t>
      </w:r>
      <w:r w:rsidR="00BE1935">
        <w:t> </w:t>
      </w:r>
      <w:r w:rsidR="00344552">
        <w:t xml:space="preserve">: </w:t>
      </w:r>
    </w:p>
    <w:p w14:paraId="7742B679" w14:textId="6E48320F" w:rsidR="000B4BE7" w:rsidRPr="000B4BE7" w:rsidRDefault="00C3689F" w:rsidP="00431DD0">
      <w:pPr>
        <w:pStyle w:val="Corpsdetexte"/>
        <w:numPr>
          <w:ilvl w:val="0"/>
          <w:numId w:val="101"/>
        </w:numPr>
      </w:pPr>
      <w:proofErr w:type="gramStart"/>
      <w:r>
        <w:t>l</w:t>
      </w:r>
      <w:r w:rsidR="00E3711E">
        <w:t>es</w:t>
      </w:r>
      <w:proofErr w:type="gramEnd"/>
      <w:r w:rsidR="00E3711E">
        <w:t xml:space="preserve"> </w:t>
      </w:r>
      <w:r w:rsidR="00344552">
        <w:t>offres</w:t>
      </w:r>
      <w:r w:rsidR="00E3711E">
        <w:t xml:space="preserve"> dont </w:t>
      </w:r>
      <w:r w:rsidR="004A7323">
        <w:t>certaines</w:t>
      </w:r>
      <w:r w:rsidR="00E3711E">
        <w:t xml:space="preserve"> composantes de prix </w:t>
      </w:r>
      <w:r w:rsidR="004A7323">
        <w:t>sont dites ‘fixes’</w:t>
      </w:r>
      <w:r w:rsidR="00BF05E8">
        <w:t xml:space="preserve">. </w:t>
      </w:r>
      <w:r w:rsidR="001F22A3">
        <w:t xml:space="preserve">Cela inclut </w:t>
      </w:r>
      <w:r w:rsidR="00BF05E8">
        <w:t xml:space="preserve">les offres </w:t>
      </w:r>
      <w:r w:rsidR="00684873">
        <w:t xml:space="preserve">à </w:t>
      </w:r>
      <w:r w:rsidR="009A27AA">
        <w:t xml:space="preserve">part énergie </w:t>
      </w:r>
      <w:r w:rsidR="00BF05E8">
        <w:t>f</w:t>
      </w:r>
      <w:r w:rsidR="000B4BE7" w:rsidRPr="000B4BE7">
        <w:t>ixe</w:t>
      </w:r>
      <w:r w:rsidR="00524CAC">
        <w:t>, ou encore les contrats hybrides,</w:t>
      </w:r>
      <w:r w:rsidR="000B4BE7" w:rsidRPr="000B4BE7">
        <w:t xml:space="preserve"> </w:t>
      </w:r>
      <w:r w:rsidR="00524CAC">
        <w:t>y compris</w:t>
      </w:r>
      <w:r w:rsidR="000B4BE7" w:rsidRPr="000B4BE7">
        <w:t xml:space="preserve"> </w:t>
      </w:r>
      <w:r w:rsidR="003959EE">
        <w:t xml:space="preserve">avec des tarifications horaires </w:t>
      </w:r>
      <w:r w:rsidR="001A660F">
        <w:t xml:space="preserve">différenciées </w:t>
      </w:r>
      <w:r w:rsidR="0057628D">
        <w:t>comme les</w:t>
      </w:r>
      <w:r w:rsidR="000B4BE7" w:rsidRPr="000B4BE7">
        <w:t xml:space="preserve"> H</w:t>
      </w:r>
      <w:r w:rsidR="0057628D">
        <w:t xml:space="preserve">eures </w:t>
      </w:r>
      <w:r w:rsidR="000B4BE7" w:rsidRPr="000B4BE7">
        <w:t>P</w:t>
      </w:r>
      <w:r w:rsidR="0057628D">
        <w:t xml:space="preserve">leines / </w:t>
      </w:r>
      <w:r w:rsidR="000B4BE7" w:rsidRPr="000B4BE7">
        <w:t>H</w:t>
      </w:r>
      <w:r w:rsidR="0057628D">
        <w:t xml:space="preserve">eures </w:t>
      </w:r>
      <w:r w:rsidR="000B4BE7" w:rsidRPr="000B4BE7">
        <w:t>C</w:t>
      </w:r>
      <w:r w:rsidR="0057628D">
        <w:t>reuses</w:t>
      </w:r>
      <w:r w:rsidR="000B4BE7" w:rsidRPr="000B4BE7">
        <w:t xml:space="preserve"> et les offres W</w:t>
      </w:r>
      <w:r w:rsidR="0057628D">
        <w:t>eek-end</w:t>
      </w:r>
      <w:r w:rsidR="00BE1935">
        <w:t> </w:t>
      </w:r>
      <w:r w:rsidR="00524CAC">
        <w:t>;</w:t>
      </w:r>
    </w:p>
    <w:p w14:paraId="555F3B70" w14:textId="62B559C4" w:rsidR="000B4BE7" w:rsidRDefault="002555D8" w:rsidP="00431DD0">
      <w:pPr>
        <w:pStyle w:val="Corpsdetexte"/>
        <w:numPr>
          <w:ilvl w:val="0"/>
          <w:numId w:val="99"/>
        </w:numPr>
      </w:pPr>
      <w:proofErr w:type="gramStart"/>
      <w:r>
        <w:t>l</w:t>
      </w:r>
      <w:r w:rsidR="008814CD">
        <w:t>es</w:t>
      </w:r>
      <w:proofErr w:type="gramEnd"/>
      <w:r w:rsidR="008814CD">
        <w:t xml:space="preserve"> offres i</w:t>
      </w:r>
      <w:r w:rsidR="000B4BE7" w:rsidRPr="000B4BE7">
        <w:t>ndexé</w:t>
      </w:r>
      <w:r w:rsidR="008814CD">
        <w:t>e</w:t>
      </w:r>
      <w:r w:rsidR="000B4BE7" w:rsidRPr="000B4BE7">
        <w:t xml:space="preserve">s </w:t>
      </w:r>
      <w:r w:rsidR="008814CD">
        <w:t xml:space="preserve">sur les </w:t>
      </w:r>
      <w:r w:rsidR="000B4BE7" w:rsidRPr="000B4BE7">
        <w:t>T</w:t>
      </w:r>
      <w:r w:rsidR="008814CD">
        <w:t xml:space="preserve">arifs réglementés de vente </w:t>
      </w:r>
      <w:r w:rsidR="000B4BE7" w:rsidRPr="000B4BE7">
        <w:t xml:space="preserve">(toute option) et tout autre contrat indexé pour tout ou partie sur une formule amont </w:t>
      </w:r>
      <w:r w:rsidR="00400D9E">
        <w:t>dont l’appr</w:t>
      </w:r>
      <w:r w:rsidR="004A4209">
        <w:t>o</w:t>
      </w:r>
      <w:r w:rsidR="00400D9E">
        <w:t>vis</w:t>
      </w:r>
      <w:r w:rsidR="004A4209">
        <w:t>ionn</w:t>
      </w:r>
      <w:r w:rsidR="00400D9E">
        <w:t xml:space="preserve">ement s’effectue sur un horizon supérieur à </w:t>
      </w:r>
      <w:r w:rsidR="000B4BE7" w:rsidRPr="000B4BE7">
        <w:t>3 mois</w:t>
      </w:r>
      <w:r w:rsidR="00BE1935">
        <w:t> </w:t>
      </w:r>
      <w:r w:rsidR="00400D9E">
        <w:t xml:space="preserve">; </w:t>
      </w:r>
    </w:p>
    <w:p w14:paraId="6F8790B4" w14:textId="2E849651" w:rsidR="00DE7453" w:rsidRPr="00842452" w:rsidRDefault="00795CA2" w:rsidP="00431DD0">
      <w:pPr>
        <w:pStyle w:val="Corpsdetexte"/>
        <w:numPr>
          <w:ilvl w:val="0"/>
          <w:numId w:val="99"/>
        </w:numPr>
      </w:pPr>
      <w:proofErr w:type="gramStart"/>
      <w:r w:rsidRPr="00842452">
        <w:t>les</w:t>
      </w:r>
      <w:proofErr w:type="gramEnd"/>
      <w:r w:rsidRPr="00842452">
        <w:t xml:space="preserve"> offres aux Tarifs réglementés de vente, y compris </w:t>
      </w:r>
      <w:r w:rsidR="009E69A3" w:rsidRPr="00842452">
        <w:t>les offres en zone locale de distribution approvisionnées au tarif de cession</w:t>
      </w:r>
      <w:r w:rsidR="00B836E0" w:rsidRPr="00842452">
        <w:t xml:space="preserve"> (les modalités de prise en compte de ce mode d’approvisionnement lors des contrôles sont détaillées en section 3.1)</w:t>
      </w:r>
      <w:r w:rsidR="00E22F8F" w:rsidRPr="00842452">
        <w:t> ;</w:t>
      </w:r>
    </w:p>
    <w:p w14:paraId="41781EB7" w14:textId="624198D4" w:rsidR="000B4BE7" w:rsidRPr="000B4BE7" w:rsidRDefault="002555D8" w:rsidP="00431DD0">
      <w:pPr>
        <w:pStyle w:val="Corpsdetexte"/>
        <w:numPr>
          <w:ilvl w:val="0"/>
          <w:numId w:val="100"/>
        </w:numPr>
      </w:pPr>
      <w:proofErr w:type="gramStart"/>
      <w:r>
        <w:t>l</w:t>
      </w:r>
      <w:r w:rsidR="005E0C4E">
        <w:t>es</w:t>
      </w:r>
      <w:proofErr w:type="gramEnd"/>
      <w:r w:rsidR="005E0C4E">
        <w:t xml:space="preserve"> offres</w:t>
      </w:r>
      <w:r w:rsidR="003171CB">
        <w:t xml:space="preserve"> </w:t>
      </w:r>
      <w:r w:rsidR="000B4BE7" w:rsidRPr="000B4BE7">
        <w:t>« </w:t>
      </w:r>
      <w:r w:rsidR="00DD54A1">
        <w:t>b</w:t>
      </w:r>
      <w:r w:rsidR="000B4BE7" w:rsidRPr="000B4BE7">
        <w:t>loc+spot » et « à clic »</w:t>
      </w:r>
      <w:r w:rsidR="00BE1935">
        <w:t> </w:t>
      </w:r>
      <w:r w:rsidR="003171CB">
        <w:t>;</w:t>
      </w:r>
    </w:p>
    <w:p w14:paraId="383F22F4" w14:textId="0990FB0C" w:rsidR="000B4BE7" w:rsidRDefault="002555D8" w:rsidP="00431DD0">
      <w:pPr>
        <w:pStyle w:val="Corpsdetexte"/>
        <w:numPr>
          <w:ilvl w:val="0"/>
          <w:numId w:val="98"/>
        </w:numPr>
      </w:pPr>
      <w:proofErr w:type="gramStart"/>
      <w:r>
        <w:t>l</w:t>
      </w:r>
      <w:r w:rsidR="00C37C9C">
        <w:t>es</w:t>
      </w:r>
      <w:proofErr w:type="gramEnd"/>
      <w:r w:rsidR="00C37C9C">
        <w:t xml:space="preserve"> contrats d’achat d’électricité à long ter</w:t>
      </w:r>
      <w:r w:rsidR="00B57158">
        <w:t>m</w:t>
      </w:r>
      <w:r w:rsidR="00C37C9C">
        <w:t>e (</w:t>
      </w:r>
      <w:r w:rsidR="000B4BE7" w:rsidRPr="000B4BE7">
        <w:t>PPA</w:t>
      </w:r>
      <w:r w:rsidR="00C37C9C">
        <w:t>)</w:t>
      </w:r>
      <w:r w:rsidR="000B4BE7" w:rsidRPr="000B4BE7">
        <w:t xml:space="preserve"> </w:t>
      </w:r>
      <w:r w:rsidR="008037D0">
        <w:t>à destination d’un</w:t>
      </w:r>
      <w:r w:rsidR="000B4BE7" w:rsidRPr="000B4BE7">
        <w:t xml:space="preserve"> consommateur final avec engagement de volume à prix fixe (ex</w:t>
      </w:r>
      <w:r w:rsidR="00BE1935">
        <w:t> </w:t>
      </w:r>
      <w:r w:rsidR="000B4BE7" w:rsidRPr="000B4BE7">
        <w:t>: shaped PPA ou pay-as-consumed PPA)</w:t>
      </w:r>
      <w:r w:rsidR="00BE1935">
        <w:t> </w:t>
      </w:r>
      <w:r w:rsidR="00AC2F69">
        <w:t>;</w:t>
      </w:r>
    </w:p>
    <w:p w14:paraId="3CD86E25" w14:textId="5B8FE20B" w:rsidR="00E858A1" w:rsidRPr="00C340FC" w:rsidRDefault="00E858A1" w:rsidP="00431DD0">
      <w:pPr>
        <w:pStyle w:val="Corpsdetexte"/>
        <w:numPr>
          <w:ilvl w:val="0"/>
          <w:numId w:val="98"/>
        </w:numPr>
      </w:pPr>
      <w:proofErr w:type="gramStart"/>
      <w:r w:rsidRPr="00C340FC">
        <w:t>les</w:t>
      </w:r>
      <w:proofErr w:type="gramEnd"/>
      <w:r w:rsidRPr="00C340FC">
        <w:t xml:space="preserve"> offres</w:t>
      </w:r>
      <w:r w:rsidRPr="00842452">
        <w:t xml:space="preserve"> </w:t>
      </w:r>
      <w:r w:rsidR="00832CA0" w:rsidRPr="00842452">
        <w:t>dont le niveau de</w:t>
      </w:r>
      <w:r w:rsidRPr="00C340FC">
        <w:t xml:space="preserve"> prix </w:t>
      </w:r>
      <w:r w:rsidR="00832CA0" w:rsidRPr="00842452">
        <w:t>est</w:t>
      </w:r>
      <w:r w:rsidRPr="00842452">
        <w:t xml:space="preserve"> </w:t>
      </w:r>
      <w:r w:rsidRPr="00C340FC">
        <w:t>« fixe » ou « reposant sur une formule de prix amont » par défaut, mais dont la grille peut être modifiée à tout moment, si les composantes pouvant engendrer une évolution de la grille, telles que définies contractuellement, excluent les évolutions du coût d’approvisionnement</w:t>
      </w:r>
    </w:p>
    <w:p w14:paraId="05E79779" w14:textId="61E51F08" w:rsidR="00A41E90" w:rsidRDefault="002555D8" w:rsidP="00431DD0">
      <w:pPr>
        <w:pStyle w:val="Corpsdetexte"/>
        <w:numPr>
          <w:ilvl w:val="0"/>
          <w:numId w:val="97"/>
        </w:numPr>
      </w:pPr>
      <w:proofErr w:type="gramStart"/>
      <w:r>
        <w:t>t</w:t>
      </w:r>
      <w:r w:rsidR="000B4BE7" w:rsidRPr="000B4BE7">
        <w:t>out</w:t>
      </w:r>
      <w:proofErr w:type="gramEnd"/>
      <w:r w:rsidR="000B4BE7" w:rsidRPr="000B4BE7">
        <w:t xml:space="preserve"> contrat</w:t>
      </w:r>
      <w:r w:rsidR="000B4BE7" w:rsidRPr="000B4BE7" w:rsidDel="00C92149">
        <w:t xml:space="preserve"> </w:t>
      </w:r>
      <w:r w:rsidR="00B57158">
        <w:t xml:space="preserve">dont </w:t>
      </w:r>
      <w:r w:rsidR="000B4BE7" w:rsidRPr="000B4BE7">
        <w:t>la grille de prix présente une limite haute (ex</w:t>
      </w:r>
      <w:r w:rsidR="00BE1935">
        <w:t> </w:t>
      </w:r>
      <w:r w:rsidR="000B4BE7" w:rsidRPr="000B4BE7">
        <w:t>: Tempo, offres Bonus</w:t>
      </w:r>
      <w:r w:rsidR="005446F0">
        <w:t>, offres révisables à la baisse</w:t>
      </w:r>
      <w:r w:rsidR="000B4BE7" w:rsidRPr="000B4BE7">
        <w:t>)</w:t>
      </w:r>
      <w:r w:rsidR="00AC2F69">
        <w:t>.</w:t>
      </w:r>
    </w:p>
    <w:p w14:paraId="5048E446" w14:textId="17A4EE75" w:rsidR="00F41D96" w:rsidRDefault="002B5955" w:rsidP="00C92236">
      <w:pPr>
        <w:pStyle w:val="Corpsdetexte"/>
      </w:pPr>
      <w:r>
        <w:t>L</w:t>
      </w:r>
      <w:r w:rsidR="00E54459">
        <w:t>e fournisseur</w:t>
      </w:r>
      <w:r w:rsidR="001E1650">
        <w:t xml:space="preserve"> pourra</w:t>
      </w:r>
      <w:r w:rsidR="00CA076F">
        <w:t xml:space="preserve"> ainsi</w:t>
      </w:r>
      <w:r w:rsidR="00E54459">
        <w:t>, lors des contrôles,</w:t>
      </w:r>
      <w:r w:rsidR="001E1650">
        <w:t xml:space="preserve"> </w:t>
      </w:r>
      <w:r w:rsidR="00081B87" w:rsidRPr="00081B87">
        <w:t>restreindre la communication des données aux seules offres représentant 99</w:t>
      </w:r>
      <w:r w:rsidR="003C1FDE">
        <w:t> </w:t>
      </w:r>
      <w:r w:rsidR="00081B87" w:rsidRPr="00081B87">
        <w:t>% des volumes agrégés dans son portefeuille.</w:t>
      </w:r>
    </w:p>
    <w:p w14:paraId="6B19FCFF" w14:textId="2D5CB8F3" w:rsidR="003003FB" w:rsidRDefault="003003FB" w:rsidP="00C92236">
      <w:pPr>
        <w:pStyle w:val="Corpsdetexte"/>
      </w:pPr>
    </w:p>
    <w:p w14:paraId="70AD526A" w14:textId="52935F7E" w:rsidR="00716406" w:rsidRPr="00842452" w:rsidRDefault="00B66D79" w:rsidP="008B4A2B">
      <w:pPr>
        <w:pStyle w:val="Titre3"/>
        <w:rPr>
          <w:lang w:val="fr-FR"/>
        </w:rPr>
      </w:pPr>
      <w:bookmarkStart w:id="16" w:name="_Toc232094730"/>
      <w:r w:rsidRPr="00842452">
        <w:rPr>
          <w:lang w:val="fr-FR"/>
        </w:rPr>
        <w:t>Volumes sujets au critère en couverture au sein de</w:t>
      </w:r>
      <w:r w:rsidR="6AF5EE3A" w:rsidRPr="00842452">
        <w:rPr>
          <w:lang w:val="fr-FR"/>
        </w:rPr>
        <w:t>s</w:t>
      </w:r>
      <w:r w:rsidRPr="00842452">
        <w:rPr>
          <w:lang w:val="fr-FR"/>
        </w:rPr>
        <w:t xml:space="preserve"> </w:t>
      </w:r>
      <w:r w:rsidR="4D0C25A5" w:rsidRPr="00842452">
        <w:rPr>
          <w:lang w:val="fr-FR"/>
        </w:rPr>
        <w:t>contrats constituant un engagement auprès du consommateur</w:t>
      </w:r>
      <w:bookmarkEnd w:id="16"/>
    </w:p>
    <w:p w14:paraId="111FE733" w14:textId="37C2C12D" w:rsidR="00A664A5" w:rsidRPr="00611CE2" w:rsidRDefault="001B75B7" w:rsidP="00A664A5">
      <w:pPr>
        <w:pStyle w:val="Corpsdetexte"/>
        <w:rPr>
          <w:strike/>
          <w:u w:val="single"/>
        </w:rPr>
      </w:pPr>
      <w:r>
        <w:t>Les</w:t>
      </w:r>
      <w:r w:rsidR="00793B2C" w:rsidRPr="00793B2C">
        <w:t xml:space="preserve"> volumes concernés par </w:t>
      </w:r>
      <w:r w:rsidR="00E3020A">
        <w:t>le critère en</w:t>
      </w:r>
      <w:r w:rsidR="00793B2C" w:rsidRPr="00793B2C">
        <w:t xml:space="preserve"> couverture </w:t>
      </w:r>
      <w:r>
        <w:t xml:space="preserve">sont définis </w:t>
      </w:r>
      <w:r w:rsidR="00164E29">
        <w:t>comme étant</w:t>
      </w:r>
      <w:r w:rsidR="00793B2C" w:rsidRPr="00793B2C">
        <w:t xml:space="preserve"> </w:t>
      </w:r>
      <w:r w:rsidR="00793B2C" w:rsidRPr="00E038C0">
        <w:rPr>
          <w:u w:val="single"/>
        </w:rPr>
        <w:t xml:space="preserve">les volumes que le vendeur est tenu de fournir à un prix déterminé ou majoré par un </w:t>
      </w:r>
      <w:r w:rsidR="00793B2C" w:rsidRPr="00B828F6">
        <w:rPr>
          <w:u w:val="single"/>
        </w:rPr>
        <w:t xml:space="preserve">niveau </w:t>
      </w:r>
      <w:r w:rsidR="00C455FA" w:rsidRPr="00B828F6">
        <w:rPr>
          <w:u w:val="single"/>
        </w:rPr>
        <w:t>fixé à date</w:t>
      </w:r>
      <w:r w:rsidR="00140543" w:rsidRPr="00B828F6">
        <w:rPr>
          <w:u w:val="single"/>
        </w:rPr>
        <w:t xml:space="preserve"> au sein des co</w:t>
      </w:r>
      <w:r w:rsidR="00B00EA2" w:rsidRPr="00B828F6">
        <w:rPr>
          <w:u w:val="single"/>
        </w:rPr>
        <w:t xml:space="preserve">ntrats associés aux types d’offres éligibles définies en </w:t>
      </w:r>
      <w:r w:rsidR="00B00EA2" w:rsidRPr="00C340FC">
        <w:rPr>
          <w:u w:val="single"/>
        </w:rPr>
        <w:t>2.</w:t>
      </w:r>
      <w:r w:rsidR="00F72667" w:rsidRPr="00842452">
        <w:rPr>
          <w:u w:val="single"/>
        </w:rPr>
        <w:t>2</w:t>
      </w:r>
      <w:r w:rsidR="00B00EA2" w:rsidRPr="00C340FC">
        <w:rPr>
          <w:u w:val="single"/>
        </w:rPr>
        <w:t>.2</w:t>
      </w:r>
      <w:r w:rsidR="00793B2C" w:rsidRPr="00C340FC">
        <w:rPr>
          <w:u w:val="single"/>
        </w:rPr>
        <w:t>.</w:t>
      </w:r>
    </w:p>
    <w:p w14:paraId="5632336B" w14:textId="4579B81C" w:rsidR="008855C6" w:rsidRDefault="0080048F" w:rsidP="00A664A5">
      <w:pPr>
        <w:pStyle w:val="Corpsdetexte"/>
      </w:pPr>
      <w:r>
        <w:lastRenderedPageBreak/>
        <w:t>Il en découle en particulier que</w:t>
      </w:r>
      <w:r w:rsidR="008855C6">
        <w:t> </w:t>
      </w:r>
      <w:r w:rsidR="00C74F08">
        <w:t>l’assiette de l’obligation correspond</w:t>
      </w:r>
      <w:r w:rsidR="00BE1935">
        <w:t> </w:t>
      </w:r>
      <w:r w:rsidR="00E7055C">
        <w:t>:</w:t>
      </w:r>
    </w:p>
    <w:p w14:paraId="1E55B813" w14:textId="6998DF10" w:rsidR="00F44B92" w:rsidRDefault="00E12269" w:rsidP="005208AE">
      <w:pPr>
        <w:pStyle w:val="Corpsdetexte"/>
        <w:numPr>
          <w:ilvl w:val="0"/>
          <w:numId w:val="96"/>
        </w:numPr>
      </w:pPr>
      <w:proofErr w:type="gramStart"/>
      <w:r w:rsidRPr="00611CE2">
        <w:rPr>
          <w:b/>
        </w:rPr>
        <w:t>pour</w:t>
      </w:r>
      <w:proofErr w:type="gramEnd"/>
      <w:r w:rsidRPr="00611CE2">
        <w:rPr>
          <w:b/>
        </w:rPr>
        <w:t xml:space="preserve"> </w:t>
      </w:r>
      <w:r w:rsidR="00541ABF" w:rsidRPr="00611CE2">
        <w:rPr>
          <w:b/>
        </w:rPr>
        <w:t>l</w:t>
      </w:r>
      <w:r w:rsidRPr="00611CE2">
        <w:rPr>
          <w:b/>
        </w:rPr>
        <w:t>es contrats hybrides</w:t>
      </w:r>
      <w:r>
        <w:t xml:space="preserve"> </w:t>
      </w:r>
      <w:r w:rsidR="000128BA">
        <w:t>(</w:t>
      </w:r>
      <w:r w:rsidR="00731BE0">
        <w:t>composante approvisionnement de la grille</w:t>
      </w:r>
      <w:r w:rsidR="00E20F24">
        <w:t xml:space="preserve"> </w:t>
      </w:r>
      <w:r w:rsidR="005A5715">
        <w:t>partiellement fix</w:t>
      </w:r>
      <w:r w:rsidR="007B53D3">
        <w:t>e</w:t>
      </w:r>
      <w:r w:rsidR="000128BA">
        <w:t>)</w:t>
      </w:r>
      <w:r w:rsidR="00C74F08">
        <w:t>,</w:t>
      </w:r>
      <w:r w:rsidR="008F62BF">
        <w:t xml:space="preserve"> </w:t>
      </w:r>
      <w:r w:rsidR="00B82DFD">
        <w:t>à l</w:t>
      </w:r>
      <w:r w:rsidR="00F320D1">
        <w:t xml:space="preserve">’application du taux de fixité </w:t>
      </w:r>
      <w:r w:rsidR="00C92149">
        <w:t>à la consommation</w:t>
      </w:r>
      <w:r w:rsidR="00E93BFC">
        <w:t xml:space="preserve"> prévisionnelle</w:t>
      </w:r>
      <w:r w:rsidR="00C92149">
        <w:t xml:space="preserve"> du portefeuille</w:t>
      </w:r>
      <w:r w:rsidR="00BE1935">
        <w:t> </w:t>
      </w:r>
      <w:r w:rsidR="00674BC2">
        <w:t>;</w:t>
      </w:r>
    </w:p>
    <w:p w14:paraId="793CB1F7" w14:textId="28B2614D" w:rsidR="00B34019" w:rsidRDefault="00B34019" w:rsidP="005208AE">
      <w:pPr>
        <w:pStyle w:val="Corpsdetexte"/>
        <w:numPr>
          <w:ilvl w:val="0"/>
          <w:numId w:val="95"/>
        </w:numPr>
      </w:pPr>
      <w:proofErr w:type="gramStart"/>
      <w:r w:rsidRPr="00611CE2">
        <w:rPr>
          <w:b/>
        </w:rPr>
        <w:t>pour</w:t>
      </w:r>
      <w:proofErr w:type="gramEnd"/>
      <w:r w:rsidRPr="00611CE2">
        <w:rPr>
          <w:b/>
        </w:rPr>
        <w:t xml:space="preserve"> les contrats reposant sur un lissage de prix « amont »,</w:t>
      </w:r>
      <w:r>
        <w:t xml:space="preserve"> à l’ensemble des volumes que l’application de ce lissage de prix conduit à avoir approvisionné à date</w:t>
      </w:r>
      <w:r w:rsidR="00BE1935">
        <w:t> </w:t>
      </w:r>
      <w:r>
        <w:t>;</w:t>
      </w:r>
    </w:p>
    <w:p w14:paraId="5ECCD094" w14:textId="11185A48" w:rsidR="00DD54A1" w:rsidRDefault="00DD54A1" w:rsidP="005208AE">
      <w:pPr>
        <w:pStyle w:val="Corpsdetexte"/>
        <w:numPr>
          <w:ilvl w:val="0"/>
          <w:numId w:val="94"/>
        </w:numPr>
      </w:pPr>
      <w:proofErr w:type="gramStart"/>
      <w:r w:rsidRPr="00611CE2">
        <w:rPr>
          <w:b/>
        </w:rPr>
        <w:t>pour</w:t>
      </w:r>
      <w:proofErr w:type="gramEnd"/>
      <w:r w:rsidRPr="00611CE2">
        <w:rPr>
          <w:b/>
        </w:rPr>
        <w:t xml:space="preserve"> les contrats associés aux offres « à clic » et « bloc+spot »</w:t>
      </w:r>
      <w:r>
        <w:t xml:space="preserve">, aux volumes </w:t>
      </w:r>
      <w:r w:rsidR="005114BC">
        <w:t xml:space="preserve">dont le prix est fixé à date </w:t>
      </w:r>
      <w:r w:rsidR="008E0720">
        <w:t xml:space="preserve">en raison des réservations de </w:t>
      </w:r>
      <w:proofErr w:type="gramStart"/>
      <w:r w:rsidR="008E0720">
        <w:t xml:space="preserve">volume </w:t>
      </w:r>
      <w:r>
        <w:t xml:space="preserve"> par</w:t>
      </w:r>
      <w:proofErr w:type="gramEnd"/>
      <w:r>
        <w:t xml:space="preserve"> le consommateur</w:t>
      </w:r>
      <w:r w:rsidR="00BE1935">
        <w:t> </w:t>
      </w:r>
      <w:r>
        <w:t>;</w:t>
      </w:r>
    </w:p>
    <w:p w14:paraId="27A4F8D6" w14:textId="6E4C23CA" w:rsidR="00DD54A1" w:rsidRDefault="00D41FF4" w:rsidP="005208AE">
      <w:pPr>
        <w:pStyle w:val="Corpsdetexte"/>
        <w:numPr>
          <w:ilvl w:val="0"/>
          <w:numId w:val="93"/>
        </w:numPr>
      </w:pPr>
      <w:proofErr w:type="gramStart"/>
      <w:r w:rsidRPr="00611CE2">
        <w:rPr>
          <w:b/>
        </w:rPr>
        <w:t>pour</w:t>
      </w:r>
      <w:proofErr w:type="gramEnd"/>
      <w:r w:rsidRPr="00611CE2">
        <w:rPr>
          <w:b/>
        </w:rPr>
        <w:t xml:space="preserve"> les PPA</w:t>
      </w:r>
      <w:r w:rsidR="0024713F">
        <w:rPr>
          <w:b/>
        </w:rPr>
        <w:t>/BPA</w:t>
      </w:r>
      <w:r w:rsidRPr="00611CE2">
        <w:rPr>
          <w:b/>
        </w:rPr>
        <w:t xml:space="preserve"> avec engagement de volume à prix fixe</w:t>
      </w:r>
      <w:r w:rsidR="00A15064" w:rsidRPr="00611CE2">
        <w:rPr>
          <w:b/>
        </w:rPr>
        <w:t xml:space="preserve"> auprès d’un consommateur final</w:t>
      </w:r>
      <w:r>
        <w:t>, aux volumes concernés par cet engagement de prix</w:t>
      </w:r>
      <w:r w:rsidR="00BE1935">
        <w:t> </w:t>
      </w:r>
      <w:r>
        <w:t>;</w:t>
      </w:r>
    </w:p>
    <w:p w14:paraId="78D30904" w14:textId="3C91FA9F" w:rsidR="007B2A38" w:rsidRDefault="00110FEC" w:rsidP="005208AE">
      <w:pPr>
        <w:pStyle w:val="Corpsdetexte"/>
        <w:numPr>
          <w:ilvl w:val="0"/>
          <w:numId w:val="92"/>
        </w:numPr>
      </w:pPr>
      <w:proofErr w:type="gramStart"/>
      <w:r w:rsidRPr="00611CE2">
        <w:rPr>
          <w:b/>
        </w:rPr>
        <w:t>pour</w:t>
      </w:r>
      <w:proofErr w:type="gramEnd"/>
      <w:r w:rsidRPr="00611CE2">
        <w:rPr>
          <w:b/>
        </w:rPr>
        <w:t xml:space="preserve"> les contrats </w:t>
      </w:r>
      <w:r w:rsidR="0047289A" w:rsidRPr="00611CE2">
        <w:rPr>
          <w:b/>
        </w:rPr>
        <w:t xml:space="preserve">dont </w:t>
      </w:r>
      <w:r w:rsidR="00C92149" w:rsidRPr="00611CE2">
        <w:rPr>
          <w:b/>
        </w:rPr>
        <w:t>la grille de prix</w:t>
      </w:r>
      <w:r w:rsidR="0047289A" w:rsidRPr="00611CE2">
        <w:rPr>
          <w:b/>
        </w:rPr>
        <w:t xml:space="preserve"> présente une limite haute</w:t>
      </w:r>
      <w:r w:rsidR="0047289A">
        <w:t xml:space="preserve">, </w:t>
      </w:r>
      <w:r w:rsidR="00B128DC">
        <w:t xml:space="preserve">à </w:t>
      </w:r>
      <w:r w:rsidR="003F615E">
        <w:t>l’ensemble des volumes concernés</w:t>
      </w:r>
      <w:r w:rsidR="00606285">
        <w:t>.</w:t>
      </w:r>
      <w:r w:rsidR="0047289A">
        <w:t xml:space="preserve"> </w:t>
      </w:r>
    </w:p>
    <w:p w14:paraId="607948E5" w14:textId="57B15B91" w:rsidR="00DF323B" w:rsidRDefault="00DF323B" w:rsidP="005208AE">
      <w:pPr>
        <w:pStyle w:val="Corpsdetexte"/>
        <w:numPr>
          <w:ilvl w:val="0"/>
          <w:numId w:val="92"/>
        </w:numPr>
      </w:pPr>
      <w:proofErr w:type="gramStart"/>
      <w:r w:rsidRPr="00842452">
        <w:rPr>
          <w:b/>
        </w:rPr>
        <w:t>pour</w:t>
      </w:r>
      <w:proofErr w:type="gramEnd"/>
      <w:r w:rsidRPr="00842452">
        <w:rPr>
          <w:b/>
        </w:rPr>
        <w:t xml:space="preserve"> les </w:t>
      </w:r>
      <w:r w:rsidR="009A26E4" w:rsidRPr="00842452">
        <w:rPr>
          <w:b/>
        </w:rPr>
        <w:t xml:space="preserve">contrats approvisionnés au tarif de cession, </w:t>
      </w:r>
      <w:r w:rsidR="000F3D41" w:rsidRPr="00842452">
        <w:t>aux</w:t>
      </w:r>
      <w:r w:rsidR="009A26E4" w:rsidRPr="00842452">
        <w:t xml:space="preserve"> volumes </w:t>
      </w:r>
      <w:r w:rsidR="0012352C" w:rsidRPr="00842452">
        <w:t xml:space="preserve">correspondant </w:t>
      </w:r>
      <w:r w:rsidR="001746BC" w:rsidRPr="00842452">
        <w:t xml:space="preserve">à </w:t>
      </w:r>
      <w:r w:rsidR="0076614E" w:rsidRPr="00842452">
        <w:t xml:space="preserve">la formule d’approvisionnement en énergie du </w:t>
      </w:r>
      <w:r w:rsidR="00857BA3" w:rsidRPr="00842452">
        <w:t>tarif réglementé</w:t>
      </w:r>
      <w:r w:rsidR="0076614E" w:rsidRPr="00842452">
        <w:t xml:space="preserve"> sur laquelle sont indexés les clients, à savoir un lissage 2 ans du prix calendaire Base</w:t>
      </w:r>
      <w:r w:rsidR="00F136EF" w:rsidRPr="00C340FC">
        <w:t xml:space="preserve">. Ces volumes d’engagement devront être renseignés dans la catégorie de clients non-éligible au taux d’attrition. </w:t>
      </w:r>
      <w:r w:rsidR="00C56611" w:rsidRPr="00842452">
        <w:t xml:space="preserve"> </w:t>
      </w:r>
      <w:r w:rsidR="00F11BA1" w:rsidRPr="00842452">
        <w:t>Au vu de la délégation du risque marché caractérisant l’approvisionnement au tarif de cession, les fournisseurs concernés pourront renseigner des volumes de couverture correspondant exactement aux engagements renseignés pour les contrats approvisionnés au tarif de cession</w:t>
      </w:r>
      <w:r w:rsidR="00F11BA1" w:rsidRPr="00F11BA1">
        <w:rPr>
          <w:bCs/>
        </w:rPr>
        <w:t>.</w:t>
      </w:r>
    </w:p>
    <w:p w14:paraId="3BCD62C1" w14:textId="7A05FFF4" w:rsidR="00DA78E5" w:rsidRDefault="00DA78E5" w:rsidP="00611CE2">
      <w:pPr>
        <w:pStyle w:val="Corpsdetexte"/>
      </w:pPr>
      <w:r>
        <w:t xml:space="preserve">Les consommations prévisionnelles </w:t>
      </w:r>
      <w:r w:rsidR="0062576E">
        <w:t xml:space="preserve">thermosensibles </w:t>
      </w:r>
      <w:r>
        <w:t xml:space="preserve">considérées </w:t>
      </w:r>
      <w:r w:rsidR="001B75B7">
        <w:t xml:space="preserve">doivent </w:t>
      </w:r>
      <w:r w:rsidR="00296589">
        <w:t>retenir l’hypothèse d’une</w:t>
      </w:r>
      <w:r w:rsidDel="00296589">
        <w:t xml:space="preserve"> </w:t>
      </w:r>
      <w:r>
        <w:t xml:space="preserve">température normale, </w:t>
      </w:r>
      <w:r w:rsidR="00E35EE9">
        <w:t>conformément à la pratique des fournisseurs pour la couverture de moyen/long terme</w:t>
      </w:r>
      <w:r>
        <w:t>.</w:t>
      </w:r>
    </w:p>
    <w:p w14:paraId="168E103A" w14:textId="43700004" w:rsidR="00ED1A89" w:rsidRPr="00ED1A89" w:rsidRDefault="00ED1A89" w:rsidP="00ED1A89">
      <w:pPr>
        <w:pStyle w:val="Titre3"/>
      </w:pPr>
      <w:bookmarkStart w:id="17" w:name="_Toc228871366"/>
      <w:bookmarkStart w:id="18" w:name="_Toc232094731"/>
      <w:bookmarkEnd w:id="17"/>
      <w:r>
        <w:t>Taux d’attrition retenu</w:t>
      </w:r>
      <w:bookmarkEnd w:id="18"/>
    </w:p>
    <w:p w14:paraId="5311C189" w14:textId="2E2424A8" w:rsidR="00ED1A89" w:rsidRDefault="007813D0" w:rsidP="00ED1A89">
      <w:pPr>
        <w:pStyle w:val="Corpsdetexte"/>
        <w:spacing w:line="259" w:lineRule="auto"/>
      </w:pPr>
      <w:r>
        <w:t>L</w:t>
      </w:r>
      <w:r w:rsidR="00ED1A89">
        <w:t xml:space="preserve">e critère en couverture (principe 1) n’inclut pas comme « engagement à couvrir » les volumes associés aux contrats que le fournisseur prévoit d’acquérir grâce à sa stratégie commerciale, mais </w:t>
      </w:r>
      <w:r w:rsidR="00ED1A89" w:rsidRPr="003E5053">
        <w:t xml:space="preserve">se limite aux effectifs </w:t>
      </w:r>
      <w:r>
        <w:t xml:space="preserve">« certains » </w:t>
      </w:r>
      <w:r w:rsidR="00ED1A89" w:rsidRPr="003E5053">
        <w:t>déjà contractualisés en portefeuille</w:t>
      </w:r>
      <w:r w:rsidR="00ED1A89">
        <w:t xml:space="preserve">. </w:t>
      </w:r>
    </w:p>
    <w:p w14:paraId="6B3A7CA8" w14:textId="3B9F06DD" w:rsidR="00ED1A89" w:rsidRDefault="00ED1A89" w:rsidP="00ED1A89">
      <w:pPr>
        <w:pStyle w:val="Corpsdetexte"/>
      </w:pPr>
      <w:r>
        <w:t>À ces effectifs en portefeuille à la date de référence sont retranchés au fil des échéances</w:t>
      </w:r>
      <w:r w:rsidR="00BE1935">
        <w:t> </w:t>
      </w:r>
      <w:r>
        <w:t xml:space="preserve">: </w:t>
      </w:r>
    </w:p>
    <w:p w14:paraId="3DCD3BB5" w14:textId="5ED73136" w:rsidR="00ED1A89" w:rsidRDefault="00ED1A89" w:rsidP="00ED1A89">
      <w:pPr>
        <w:pStyle w:val="Corpsdetexte"/>
        <w:numPr>
          <w:ilvl w:val="0"/>
          <w:numId w:val="47"/>
        </w:numPr>
      </w:pPr>
      <w:proofErr w:type="gramStart"/>
      <w:r>
        <w:t>les</w:t>
      </w:r>
      <w:proofErr w:type="gramEnd"/>
      <w:r>
        <w:t xml:space="preserve"> départs liés à l’expiration des contrats, selon l’échéancier transmis par le fournisseur</w:t>
      </w:r>
      <w:r w:rsidR="00BE1935">
        <w:t> </w:t>
      </w:r>
      <w:r>
        <w:t>;</w:t>
      </w:r>
    </w:p>
    <w:p w14:paraId="05786034" w14:textId="0087D829" w:rsidR="00ED1A89" w:rsidRDefault="00ED1A89" w:rsidP="00ED1A89">
      <w:pPr>
        <w:pStyle w:val="Corpsdetexte"/>
        <w:numPr>
          <w:ilvl w:val="0"/>
          <w:numId w:val="47"/>
        </w:numPr>
      </w:pPr>
      <w:proofErr w:type="gramStart"/>
      <w:r>
        <w:t>les</w:t>
      </w:r>
      <w:proofErr w:type="gramEnd"/>
      <w:r>
        <w:t xml:space="preserve"> départs des clients en cours de contrat, sur la base d’un taux d’attrition annuel caractérisant le taux de départ des clients en cours d’année. Ce taux d’attrition </w:t>
      </w:r>
      <w:r w:rsidR="007813D0">
        <w:t>est</w:t>
      </w:r>
      <w:r>
        <w:t xml:space="preserve"> exclusivement appliqué aux consommateurs dont le contrat n’inclut pas de frais de résiliation</w:t>
      </w:r>
      <w:r w:rsidR="00BE1935">
        <w:t> </w:t>
      </w:r>
      <w:r>
        <w:t xml:space="preserve">: il est ainsi considéré que le consommateur ayant des frais de résiliation, et par conséquent son fournisseur, </w:t>
      </w:r>
      <w:r w:rsidRPr="00227F6D">
        <w:t xml:space="preserve">demeure lié par </w:t>
      </w:r>
      <w:r>
        <w:t>son</w:t>
      </w:r>
      <w:r w:rsidRPr="00227F6D">
        <w:t xml:space="preserve"> engagement </w:t>
      </w:r>
      <w:r>
        <w:t xml:space="preserve">contractuel </w:t>
      </w:r>
      <w:r w:rsidRPr="00227F6D">
        <w:t xml:space="preserve">jusqu’à </w:t>
      </w:r>
      <w:r>
        <w:t xml:space="preserve">échéance du contrat. </w:t>
      </w:r>
    </w:p>
    <w:p w14:paraId="331F1166" w14:textId="29C03EAB" w:rsidR="0020110E" w:rsidRDefault="0020110E" w:rsidP="00842452">
      <w:pPr>
        <w:pStyle w:val="Corpsdetexte"/>
        <w:ind w:left="360"/>
        <w:rPr>
          <w:b/>
        </w:rPr>
      </w:pPr>
      <w:r>
        <w:rPr>
          <w:b/>
        </w:rPr>
        <w:t>L</w:t>
      </w:r>
      <w:r w:rsidRPr="00527FAC">
        <w:rPr>
          <w:b/>
        </w:rPr>
        <w:t xml:space="preserve">e critère se limitera </w:t>
      </w:r>
      <w:r>
        <w:rPr>
          <w:b/>
        </w:rPr>
        <w:t xml:space="preserve">donc </w:t>
      </w:r>
      <w:r w:rsidRPr="00527FAC">
        <w:rPr>
          <w:b/>
        </w:rPr>
        <w:t xml:space="preserve">aux effectifs déjà contractualisés en portefeuille, </w:t>
      </w:r>
      <w:r>
        <w:rPr>
          <w:b/>
        </w:rPr>
        <w:t xml:space="preserve">réduit </w:t>
      </w:r>
      <w:r w:rsidRPr="00527FAC">
        <w:rPr>
          <w:b/>
        </w:rPr>
        <w:t xml:space="preserve">des départs liés à l’expiration des contrats et d’un taux d’attrition. </w:t>
      </w:r>
      <w:r>
        <w:rPr>
          <w:b/>
          <w:bCs/>
        </w:rPr>
        <w:t xml:space="preserve">Cette assiette exclut donc des prévisions d’engagement des </w:t>
      </w:r>
      <w:r w:rsidRPr="00842452">
        <w:rPr>
          <w:b/>
        </w:rPr>
        <w:t>fournisseurs, les acquisitions prévisionnelles ainsi que les renouvellements</w:t>
      </w:r>
      <w:r w:rsidR="00280887" w:rsidRPr="00842452">
        <w:rPr>
          <w:b/>
        </w:rPr>
        <w:t xml:space="preserve"> prévisionnels</w:t>
      </w:r>
      <w:r w:rsidRPr="00842452">
        <w:rPr>
          <w:b/>
        </w:rPr>
        <w:t xml:space="preserve"> de contrats existants. </w:t>
      </w:r>
    </w:p>
    <w:p w14:paraId="7DC0229F" w14:textId="767C53D0" w:rsidR="004157AE" w:rsidRDefault="0020110E" w:rsidP="004157AE">
      <w:pPr>
        <w:pStyle w:val="Corpsdetexte"/>
      </w:pPr>
      <w:r w:rsidRPr="00842452">
        <w:rPr>
          <w:b/>
        </w:rPr>
        <w:t>A la suite du retour d’expérience du guichet à blanc, la CRE</w:t>
      </w:r>
      <w:r w:rsidR="00C13A3C" w:rsidRPr="00842452">
        <w:rPr>
          <w:b/>
        </w:rPr>
        <w:t xml:space="preserve"> </w:t>
      </w:r>
      <w:r w:rsidRPr="00842452">
        <w:rPr>
          <w:b/>
        </w:rPr>
        <w:t xml:space="preserve">revient sur l’utilisation d’un taux normatif </w:t>
      </w:r>
      <w:r w:rsidR="00086E0A" w:rsidRPr="00842452">
        <w:rPr>
          <w:b/>
        </w:rPr>
        <w:t>initialement appliqué à</w:t>
      </w:r>
      <w:r w:rsidR="00913C96" w:rsidRPr="00842452">
        <w:rPr>
          <w:b/>
        </w:rPr>
        <w:t xml:space="preserve"> </w:t>
      </w:r>
      <w:r w:rsidRPr="00842452">
        <w:rPr>
          <w:b/>
        </w:rPr>
        <w:t xml:space="preserve">l’ensemble des fournisseurs. </w:t>
      </w:r>
      <w:r w:rsidR="0076788A">
        <w:t>La CRE fait évoluer ses règles afin de donner la possibilité aux fournisseurs qui le demandent de ne pas être évalué sur le taux normatif mais d’être évalué sur le taux historique constaté.</w:t>
      </w:r>
    </w:p>
    <w:p w14:paraId="4722A03A" w14:textId="1AA8583D" w:rsidR="004157AE" w:rsidRDefault="004157AE" w:rsidP="004157AE">
      <w:pPr>
        <w:pStyle w:val="Corpsdetexte"/>
      </w:pPr>
      <w:r>
        <w:t>Les fournisseurs faisant le choix de rester sur un taux d’attrition normatif se verront appliquer le taux normatif utilisé pendant le guichet à blanc de 15%/an.</w:t>
      </w:r>
    </w:p>
    <w:p w14:paraId="1669BA6C" w14:textId="45121B02" w:rsidR="004157AE" w:rsidRPr="00842452" w:rsidRDefault="004157AE" w:rsidP="004157AE">
      <w:pPr>
        <w:pStyle w:val="Corpsdetexte"/>
      </w:pPr>
      <w:r>
        <w:t xml:space="preserve">Les fournisseurs souhaitant passer à un taux d’attrition historique </w:t>
      </w:r>
      <w:r w:rsidR="00232765">
        <w:t>doivent</w:t>
      </w:r>
      <w:r>
        <w:t xml:space="preserve"> </w:t>
      </w:r>
      <w:r w:rsidRPr="00842452">
        <w:t>communiquer les informations nécessaires en complétant l’annexe 2a ou 2b. Pour tenir compte des différentes situations, la CRE évalue le taux d’attrition historique sur la base des données suivantes :</w:t>
      </w:r>
    </w:p>
    <w:p w14:paraId="7121838B" w14:textId="77777777" w:rsidR="004157AE" w:rsidRDefault="004157AE" w:rsidP="004157AE">
      <w:pPr>
        <w:pStyle w:val="Corpsdetexte"/>
        <w:numPr>
          <w:ilvl w:val="0"/>
          <w:numId w:val="113"/>
        </w:numPr>
      </w:pPr>
      <w:proofErr w:type="gramStart"/>
      <w:r w:rsidRPr="00892A66">
        <w:t>le</w:t>
      </w:r>
      <w:proofErr w:type="gramEnd"/>
      <w:r w:rsidRPr="00892A66">
        <w:t xml:space="preserve"> taux historique </w:t>
      </w:r>
      <w:r>
        <w:t>trimestriel</w:t>
      </w:r>
      <w:r w:rsidRPr="00892A66">
        <w:t xml:space="preserve"> moyen des 3 dernières années (36 mois glissants) à partir de la date de référence du guichet (du </w:t>
      </w:r>
      <w:r>
        <w:t>1</w:t>
      </w:r>
      <w:r w:rsidRPr="006937FD">
        <w:rPr>
          <w:vertAlign w:val="superscript"/>
        </w:rPr>
        <w:t>er</w:t>
      </w:r>
      <w:r>
        <w:t xml:space="preserve"> juillet</w:t>
      </w:r>
      <w:r w:rsidRPr="00892A66">
        <w:t xml:space="preserve"> de l’année N-2 au </w:t>
      </w:r>
      <w:r>
        <w:t>1</w:t>
      </w:r>
      <w:r w:rsidRPr="006937FD">
        <w:rPr>
          <w:vertAlign w:val="superscript"/>
        </w:rPr>
        <w:t>er</w:t>
      </w:r>
      <w:r>
        <w:t xml:space="preserve"> juillet</w:t>
      </w:r>
      <w:r w:rsidRPr="00892A66">
        <w:t xml:space="preserve"> de l’année N pour le guichet électricité et du </w:t>
      </w:r>
      <w:r>
        <w:t>1</w:t>
      </w:r>
      <w:r w:rsidRPr="006937FD">
        <w:rPr>
          <w:vertAlign w:val="superscript"/>
        </w:rPr>
        <w:t>er</w:t>
      </w:r>
      <w:r>
        <w:t xml:space="preserve"> avril </w:t>
      </w:r>
      <w:r w:rsidRPr="00892A66">
        <w:t xml:space="preserve">de l’année N-2 au </w:t>
      </w:r>
      <w:r>
        <w:t>1</w:t>
      </w:r>
      <w:r w:rsidRPr="006937FD">
        <w:rPr>
          <w:vertAlign w:val="superscript"/>
        </w:rPr>
        <w:t>er</w:t>
      </w:r>
      <w:r>
        <w:t xml:space="preserve"> avril </w:t>
      </w:r>
      <w:r w:rsidRPr="00892A66">
        <w:t>de l’année N pour le guichet de gaz naturel)</w:t>
      </w:r>
      <w:r>
        <w:t> ;</w:t>
      </w:r>
    </w:p>
    <w:p w14:paraId="2DC0622F" w14:textId="77777777" w:rsidR="004157AE" w:rsidRDefault="004157AE" w:rsidP="004157AE">
      <w:pPr>
        <w:pStyle w:val="Corpsdetexte"/>
        <w:numPr>
          <w:ilvl w:val="0"/>
          <w:numId w:val="113"/>
        </w:numPr>
      </w:pPr>
      <w:proofErr w:type="gramStart"/>
      <w:r w:rsidRPr="00892A66">
        <w:lastRenderedPageBreak/>
        <w:t>lorsque</w:t>
      </w:r>
      <w:proofErr w:type="gramEnd"/>
      <w:r w:rsidRPr="00892A66">
        <w:t xml:space="preserve"> le portefeuille du fournisseur a entre 12 et 36 mois, le taux historique </w:t>
      </w:r>
      <w:r>
        <w:t>trimestriel</w:t>
      </w:r>
      <w:r w:rsidRPr="00892A66">
        <w:t xml:space="preserve"> moyen sur cette période</w:t>
      </w:r>
      <w:r>
        <w:t> ;</w:t>
      </w:r>
    </w:p>
    <w:p w14:paraId="48837420" w14:textId="569D5C8E" w:rsidR="004157AE" w:rsidRPr="00892A66" w:rsidRDefault="004157AE" w:rsidP="004157AE">
      <w:pPr>
        <w:pStyle w:val="Corpsdetexte"/>
      </w:pPr>
      <w:r w:rsidRPr="00F87DBE">
        <w:t xml:space="preserve">Toutefois, afin de prévenir les comportements opportunistes, </w:t>
      </w:r>
      <w:r>
        <w:t>le CRE ne prévoit pas, à ce stade, que ce choix puisse être modifié par la suite</w:t>
      </w:r>
      <w:r w:rsidRPr="00F87DBE">
        <w:t xml:space="preserve"> : un fournisseur ayant opté pour le taux </w:t>
      </w:r>
      <w:r>
        <w:t xml:space="preserve">d’attrition </w:t>
      </w:r>
      <w:r w:rsidRPr="00F87DBE">
        <w:t xml:space="preserve">historique ne pourra </w:t>
      </w:r>
      <w:r>
        <w:t>pas</w:t>
      </w:r>
      <w:r w:rsidRPr="00F87DBE">
        <w:t xml:space="preserve"> revenir au taux normatif.</w:t>
      </w:r>
      <w:r>
        <w:t xml:space="preserve"> Les fournisseurs ayant opté pour un taux historique </w:t>
      </w:r>
      <w:r w:rsidR="00232765">
        <w:t>doivent</w:t>
      </w:r>
      <w:r>
        <w:t xml:space="preserve"> par ailleurs compléter à chaque guichet les informations nécessaires au calcul du taux historique.</w:t>
      </w:r>
    </w:p>
    <w:p w14:paraId="51453E5B" w14:textId="77777777" w:rsidR="009D354F" w:rsidRPr="005208AE" w:rsidRDefault="009D354F" w:rsidP="009D354F">
      <w:pPr>
        <w:pStyle w:val="Corpsdetexte"/>
      </w:pPr>
    </w:p>
    <w:p w14:paraId="581D7556" w14:textId="7ABAB25A" w:rsidR="00861C84" w:rsidRPr="00842452" w:rsidRDefault="008E1BB0" w:rsidP="008B4A2B">
      <w:pPr>
        <w:pStyle w:val="Titre3"/>
        <w:rPr>
          <w:lang w:val="fr-FR"/>
        </w:rPr>
      </w:pPr>
      <w:bookmarkStart w:id="19" w:name="_Toc232094732"/>
      <w:r w:rsidRPr="00842452">
        <w:rPr>
          <w:lang w:val="fr-FR"/>
        </w:rPr>
        <w:t>Périmètre géographique des engagements à couvrir</w:t>
      </w:r>
      <w:bookmarkEnd w:id="19"/>
    </w:p>
    <w:p w14:paraId="119CCCF2" w14:textId="7B861EE1" w:rsidR="00624988" w:rsidRDefault="00D74EE9" w:rsidP="000528F9">
      <w:pPr>
        <w:pStyle w:val="Corpsdetexte"/>
      </w:pPr>
      <w:r w:rsidRPr="00D74EE9">
        <w:t xml:space="preserve">La compétence de la </w:t>
      </w:r>
      <w:r w:rsidR="00AC3234">
        <w:t>CRE</w:t>
      </w:r>
      <w:r w:rsidRPr="00D74EE9">
        <w:t xml:space="preserve"> en matière de surveillance des marchés de détail étant </w:t>
      </w:r>
      <w:r w:rsidR="00FD3992">
        <w:t>born</w:t>
      </w:r>
      <w:r w:rsidR="00FD3992" w:rsidRPr="00D74EE9">
        <w:t xml:space="preserve">ée </w:t>
      </w:r>
      <w:r w:rsidRPr="00D74EE9">
        <w:t xml:space="preserve">au territoire national, le cadre de régulation prudentielle est applicable aux </w:t>
      </w:r>
      <w:r w:rsidR="00C64898">
        <w:t>fournisseurs</w:t>
      </w:r>
      <w:r w:rsidRPr="00D74EE9">
        <w:t xml:space="preserve"> </w:t>
      </w:r>
      <w:r w:rsidR="00C64898">
        <w:t xml:space="preserve">ayant </w:t>
      </w:r>
      <w:r w:rsidRPr="00D74EE9">
        <w:t>un portefeuille de consommateurs finals établis sur ce territoire.</w:t>
      </w:r>
      <w:r w:rsidR="00C64898">
        <w:t xml:space="preserve"> </w:t>
      </w:r>
      <w:r w:rsidR="00624988">
        <w:t xml:space="preserve">Les engagements des fournisseurs </w:t>
      </w:r>
      <w:r w:rsidR="00D16C0F">
        <w:t>envers ces consommateurs finals doivent donc</w:t>
      </w:r>
      <w:r w:rsidR="005D463E">
        <w:t xml:space="preserve"> pouvoir être </w:t>
      </w:r>
      <w:r w:rsidR="0006327C">
        <w:t xml:space="preserve">clairement </w:t>
      </w:r>
      <w:r w:rsidR="00A51263">
        <w:t>identifiable</w:t>
      </w:r>
      <w:r w:rsidR="00781B44">
        <w:t>s</w:t>
      </w:r>
      <w:r w:rsidR="00B92A18">
        <w:t>.</w:t>
      </w:r>
    </w:p>
    <w:p w14:paraId="201881B0" w14:textId="2D2C5840" w:rsidR="00CA1AD7" w:rsidRPr="00842452" w:rsidRDefault="7AB34D6D" w:rsidP="000528F9">
      <w:pPr>
        <w:pStyle w:val="Corpsdetexte"/>
      </w:pPr>
      <w:r>
        <w:t>Concernant le cas particulier</w:t>
      </w:r>
      <w:r w:rsidR="00CA1AD7">
        <w:t xml:space="preserve"> </w:t>
      </w:r>
      <w:r w:rsidR="29FA131F">
        <w:t>d</w:t>
      </w:r>
      <w:r w:rsidR="002F2AE3">
        <w:t>es acteurs</w:t>
      </w:r>
      <w:r w:rsidR="00CA1AD7" w:rsidRPr="00CA1AD7">
        <w:t xml:space="preserve"> </w:t>
      </w:r>
      <w:r w:rsidR="005208AE">
        <w:t>gérant</w:t>
      </w:r>
      <w:r w:rsidR="00CA1AD7" w:rsidRPr="00CA1AD7">
        <w:t xml:space="preserve"> leur activité </w:t>
      </w:r>
      <w:r w:rsidR="002F2AE3">
        <w:t xml:space="preserve">de couverture </w:t>
      </w:r>
      <w:r w:rsidR="19311927">
        <w:t>uniquement</w:t>
      </w:r>
      <w:r w:rsidR="002F2AE3">
        <w:t xml:space="preserve"> </w:t>
      </w:r>
      <w:r w:rsidR="00CA1AD7">
        <w:t xml:space="preserve">à </w:t>
      </w:r>
      <w:r w:rsidR="00CA1AD7" w:rsidRPr="00CA1AD7">
        <w:t>l</w:t>
      </w:r>
      <w:r w:rsidR="00BE1935">
        <w:t>’</w:t>
      </w:r>
      <w:r w:rsidR="00CA1AD7" w:rsidRPr="00CA1AD7">
        <w:t>échelle européenne</w:t>
      </w:r>
      <w:r w:rsidR="412BB0D5">
        <w:t xml:space="preserve"> qui </w:t>
      </w:r>
      <w:r w:rsidR="00CA1AD7" w:rsidRPr="00CA1AD7">
        <w:t>se trouve</w:t>
      </w:r>
      <w:r w:rsidR="00FE562A">
        <w:t>raie</w:t>
      </w:r>
      <w:r w:rsidR="00EB278F">
        <w:t>nt</w:t>
      </w:r>
      <w:r w:rsidR="00CA1AD7" w:rsidRPr="00CA1AD7">
        <w:t xml:space="preserve"> dans l</w:t>
      </w:r>
      <w:r w:rsidR="00BE1935">
        <w:t>’</w:t>
      </w:r>
      <w:r w:rsidR="00CA1AD7" w:rsidRPr="00CA1AD7">
        <w:t>impossibilité d</w:t>
      </w:r>
      <w:r w:rsidR="00BE1935">
        <w:t>’</w:t>
      </w:r>
      <w:r w:rsidR="00CA1AD7" w:rsidRPr="00CA1AD7">
        <w:t>identifier et d</w:t>
      </w:r>
      <w:r w:rsidR="00BE1935">
        <w:t>’</w:t>
      </w:r>
      <w:r w:rsidR="00CA1AD7" w:rsidRPr="00CA1AD7">
        <w:t xml:space="preserve">attribuer une partie de </w:t>
      </w:r>
      <w:r w:rsidR="00FE562A">
        <w:t>leurs</w:t>
      </w:r>
      <w:r w:rsidR="00FE562A" w:rsidRPr="00CA1AD7">
        <w:t xml:space="preserve"> </w:t>
      </w:r>
      <w:r w:rsidR="00CA1AD7" w:rsidRPr="00CA1AD7">
        <w:t xml:space="preserve">couvertures spécifiquement à </w:t>
      </w:r>
      <w:r w:rsidR="00FE562A">
        <w:t>leur</w:t>
      </w:r>
      <w:r w:rsidR="00FE562A" w:rsidRPr="00CA1AD7">
        <w:t xml:space="preserve"> </w:t>
      </w:r>
      <w:r w:rsidR="00CA1AD7" w:rsidRPr="00CA1AD7">
        <w:t xml:space="preserve">portefeuille de consommateurs finals en </w:t>
      </w:r>
      <w:r w:rsidR="00BE1935">
        <w:t>France</w:t>
      </w:r>
      <w:r w:rsidR="00CA1AD7" w:rsidRPr="00CA1AD7">
        <w:t xml:space="preserve">, cette </w:t>
      </w:r>
      <w:r w:rsidR="00FE562A">
        <w:t>partie</w:t>
      </w:r>
      <w:r w:rsidR="00FE562A" w:rsidRPr="00CA1AD7">
        <w:t xml:space="preserve"> </w:t>
      </w:r>
      <w:r w:rsidR="00CA1AD7" w:rsidRPr="00CA1AD7">
        <w:t xml:space="preserve">sera déterminée </w:t>
      </w:r>
      <w:r w:rsidR="0008131B">
        <w:t xml:space="preserve">à partir </w:t>
      </w:r>
      <w:r w:rsidR="001A02CA">
        <w:t>des volumes de couverture au niveau européen</w:t>
      </w:r>
      <w:r w:rsidR="001A02CA" w:rsidRPr="00965942">
        <w:t xml:space="preserve">, </w:t>
      </w:r>
      <w:r w:rsidR="00AD1419" w:rsidRPr="00431DD0">
        <w:t xml:space="preserve">au </w:t>
      </w:r>
      <w:r w:rsidR="00106B40" w:rsidRPr="00431DD0">
        <w:t xml:space="preserve">prorata des volumes d’engagement </w:t>
      </w:r>
      <w:r w:rsidR="00D37D76" w:rsidRPr="00431DD0">
        <w:t>du fournisse</w:t>
      </w:r>
      <w:r w:rsidR="0066685D">
        <w:t xml:space="preserve">ur en </w:t>
      </w:r>
      <w:r w:rsidR="00BE1935">
        <w:t>France</w:t>
      </w:r>
      <w:r w:rsidR="00D37D76" w:rsidRPr="00431DD0">
        <w:t xml:space="preserve"> dans ses volumes d’engagement </w:t>
      </w:r>
      <w:r w:rsidR="00FE562A">
        <w:t>au niveau</w:t>
      </w:r>
      <w:r w:rsidR="00D37D76" w:rsidRPr="00431DD0">
        <w:t xml:space="preserve"> européen</w:t>
      </w:r>
      <w:r w:rsidR="008E4C01" w:rsidRPr="00431DD0">
        <w:t>.</w:t>
      </w:r>
    </w:p>
    <w:p w14:paraId="17AD4755" w14:textId="77777777" w:rsidR="00DF7BA8" w:rsidRPr="00842452" w:rsidRDefault="00DF7BA8" w:rsidP="000528F9">
      <w:pPr>
        <w:pStyle w:val="Corpsdetexte"/>
      </w:pPr>
    </w:p>
    <w:p w14:paraId="5A6E3DD5" w14:textId="5B8ABA6F" w:rsidR="00451E99" w:rsidRDefault="000C1A7A" w:rsidP="00372EFD">
      <w:pPr>
        <w:pStyle w:val="Titre2"/>
      </w:pPr>
      <w:bookmarkStart w:id="20" w:name="_Toc232094733"/>
      <w:r>
        <w:t>Fréquence</w:t>
      </w:r>
      <w:r w:rsidR="00536419">
        <w:t xml:space="preserve"> du contrôle</w:t>
      </w:r>
      <w:bookmarkEnd w:id="20"/>
    </w:p>
    <w:p w14:paraId="55898844" w14:textId="04DA4F05" w:rsidR="00E02BD1" w:rsidRDefault="000834CB" w:rsidP="00E02BD1">
      <w:pPr>
        <w:pStyle w:val="Corpsdetextedeladcision"/>
      </w:pPr>
      <w:r>
        <w:t>L</w:t>
      </w:r>
      <w:r w:rsidR="00E02BD1">
        <w:t xml:space="preserve">e contrôle </w:t>
      </w:r>
      <w:r w:rsidR="00B950D9">
        <w:t>du niveau</w:t>
      </w:r>
      <w:r w:rsidR="00E02BD1">
        <w:t xml:space="preserve"> de couverture interv</w:t>
      </w:r>
      <w:r w:rsidR="00E75EB1">
        <w:t>ien</w:t>
      </w:r>
      <w:r>
        <w:t>dra</w:t>
      </w:r>
      <w:r w:rsidR="00E02BD1">
        <w:t xml:space="preserve"> une fois par an et s’appu</w:t>
      </w:r>
      <w:r w:rsidR="00E75EB1">
        <w:t>ie</w:t>
      </w:r>
      <w:r>
        <w:t>ra</w:t>
      </w:r>
      <w:r w:rsidR="00E02BD1">
        <w:t xml:space="preserve"> sur un guichet unique de déclaration des fournisseurs</w:t>
      </w:r>
      <w:r w:rsidR="0B11DE96">
        <w:t>.</w:t>
      </w:r>
      <w:r w:rsidR="00E02BD1">
        <w:t xml:space="preserve"> </w:t>
      </w:r>
      <w:r w:rsidR="05FBBA0D">
        <w:t>C</w:t>
      </w:r>
      <w:r w:rsidR="00E02BD1">
        <w:t>ela n’empêche</w:t>
      </w:r>
      <w:r w:rsidR="00E75EB1">
        <w:t>ra</w:t>
      </w:r>
      <w:r w:rsidR="00E02BD1">
        <w:t xml:space="preserve"> </w:t>
      </w:r>
      <w:r w:rsidR="2B232199">
        <w:t xml:space="preserve">pas la CRE </w:t>
      </w:r>
      <w:r w:rsidR="00E02BD1">
        <w:t>de demander</w:t>
      </w:r>
      <w:r w:rsidR="3AB87A6D">
        <w:t xml:space="preserve"> </w:t>
      </w:r>
      <w:r w:rsidR="00E75EB1">
        <w:t xml:space="preserve">si besoin </w:t>
      </w:r>
      <w:r w:rsidR="00E02BD1">
        <w:t xml:space="preserve">à un fournisseur une mise à jour des documents </w:t>
      </w:r>
      <w:r w:rsidR="001025CA">
        <w:t>entre deux guichets</w:t>
      </w:r>
      <w:r w:rsidR="00E02BD1">
        <w:t>. Les fournisseurs devraient</w:t>
      </w:r>
      <w:r w:rsidR="424D83EB">
        <w:t>,</w:t>
      </w:r>
      <w:r w:rsidR="00E02BD1">
        <w:t xml:space="preserve"> pour leur part</w:t>
      </w:r>
      <w:r w:rsidR="726115CA">
        <w:t>,</w:t>
      </w:r>
      <w:r w:rsidR="00E02BD1">
        <w:t xml:space="preserve"> suivre l’évolution de leur couverture et signaler à la CRE les situations de déviation significative qui pourraient apparaitre entre deux guichets. </w:t>
      </w:r>
    </w:p>
    <w:p w14:paraId="4A599B59" w14:textId="57F3E519" w:rsidR="006F0BBE" w:rsidRPr="006F0BBE" w:rsidRDefault="006F0BBE" w:rsidP="006F0BBE">
      <w:pPr>
        <w:pStyle w:val="Titre2"/>
      </w:pPr>
      <w:bookmarkStart w:id="21" w:name="_Toc232094734"/>
      <w:r>
        <w:t>Conséquences d’une non-conformité</w:t>
      </w:r>
      <w:bookmarkEnd w:id="21"/>
    </w:p>
    <w:p w14:paraId="192C91AF" w14:textId="77777777" w:rsidR="006F0BBE" w:rsidRPr="006F0BBE" w:rsidRDefault="006F0BBE" w:rsidP="006F0BBE">
      <w:pPr>
        <w:pStyle w:val="Titre3"/>
        <w:rPr>
          <w:lang w:val="fr-FR"/>
        </w:rPr>
      </w:pPr>
      <w:bookmarkStart w:id="22" w:name="_Toc232094735"/>
      <w:r w:rsidRPr="006F0BBE">
        <w:rPr>
          <w:lang w:val="fr-FR"/>
        </w:rPr>
        <w:t>Les modalités du plan de remise en conformité</w:t>
      </w:r>
      <w:bookmarkEnd w:id="22"/>
    </w:p>
    <w:p w14:paraId="5DDD9C72" w14:textId="33B288C9" w:rsidR="006F0BBE" w:rsidRPr="00842452" w:rsidRDefault="006F0BBE" w:rsidP="006F0BBE">
      <w:pPr>
        <w:pStyle w:val="Corpsdetexte"/>
      </w:pPr>
      <w:r w:rsidRPr="00842452">
        <w:t xml:space="preserve">A l’issue du séquencement des principes 1 et 2, les fournisseurs ne respectant pas ces principes seraient soumis à un plan de remise en conformité. </w:t>
      </w:r>
      <w:r w:rsidR="000103AC" w:rsidRPr="00842452">
        <w:t>D</w:t>
      </w:r>
      <w:r w:rsidRPr="00842452">
        <w:t xml:space="preserve">ans l’attente de la transposition de la directive EMD, </w:t>
      </w:r>
      <w:r w:rsidR="000103AC" w:rsidRPr="00842452">
        <w:t>la CRE</w:t>
      </w:r>
      <w:r w:rsidRPr="00842452">
        <w:t xml:space="preserve"> rappelle que le non-respect de cette remise en conformité ne </w:t>
      </w:r>
      <w:r w:rsidR="000103AC" w:rsidRPr="00842452">
        <w:t>peut</w:t>
      </w:r>
      <w:r w:rsidRPr="00842452">
        <w:t xml:space="preserve"> entraîner de sanction administrative mais pourra être explicité lors de la communication des résultats des guichets.</w:t>
      </w:r>
    </w:p>
    <w:p w14:paraId="609A48F6" w14:textId="77777777" w:rsidR="006F0BBE" w:rsidRPr="00842452" w:rsidRDefault="006F0BBE" w:rsidP="006F0BBE">
      <w:pPr>
        <w:pStyle w:val="Corpsdetexte"/>
      </w:pPr>
      <w:r w:rsidRPr="00842452">
        <w:t xml:space="preserve">Dans un premier temps et après délibération, la CRE communique individuellement aux fournisseurs ne respectant pas les principes 1 et 2 de la régulation prudentielle, les résultats de leur contrôles prudentiels. Dans cette communication la CRE précise également les options à la disposition du fournisseur afin de se remettre en conformité avec les principes 1 ou 2, ainsi que les éléments de justification de remise en conformité à communiquer à la CRE. </w:t>
      </w:r>
    </w:p>
    <w:p w14:paraId="1D0E5696" w14:textId="20AC538A" w:rsidR="006F0BBE" w:rsidRPr="00842452" w:rsidRDefault="006F0BBE" w:rsidP="006F0BBE">
      <w:pPr>
        <w:pStyle w:val="Corpsdetexte"/>
      </w:pPr>
      <w:r w:rsidRPr="00842452">
        <w:t xml:space="preserve">Ces éléments </w:t>
      </w:r>
      <w:r w:rsidR="000103AC" w:rsidRPr="00842452">
        <w:t>doivent</w:t>
      </w:r>
      <w:r w:rsidRPr="00842452">
        <w:t xml:space="preserve"> être transmis dans </w:t>
      </w:r>
      <w:proofErr w:type="gramStart"/>
      <w:r w:rsidRPr="00842452">
        <w:t>un délai de 20 jours ouvrés</w:t>
      </w:r>
      <w:proofErr w:type="gramEnd"/>
      <w:r w:rsidR="008E2293" w:rsidRPr="00842452">
        <w:t xml:space="preserve"> </w:t>
      </w:r>
      <w:r w:rsidR="00AB14F2" w:rsidRPr="00842452">
        <w:t>à compter de la réception de la notification de la CRE</w:t>
      </w:r>
      <w:r w:rsidRPr="00842452">
        <w:t xml:space="preserve">. </w:t>
      </w:r>
    </w:p>
    <w:p w14:paraId="0F437C0D" w14:textId="07E921D2" w:rsidR="006F0BBE" w:rsidRPr="004E681B" w:rsidRDefault="006F0BBE" w:rsidP="006F0BBE">
      <w:pPr>
        <w:pStyle w:val="Corpsdetexte"/>
      </w:pPr>
      <w:r w:rsidRPr="00842452">
        <w:t>La CRE évalue</w:t>
      </w:r>
      <w:r w:rsidR="0038500C">
        <w:t>ra</w:t>
      </w:r>
      <w:r w:rsidRPr="00842452">
        <w:t xml:space="preserve"> ensuite, sur la base des nouveaux éléments envoyés, si le fournisseur respecte les règles prudentielles. En l’absence de transmission des données demandées, ou si les éléments transmis ne justifient pas de la remise en conformité avec les règles prudentielles</w:t>
      </w:r>
      <w:r w:rsidR="008104AC" w:rsidRPr="00842452">
        <w:t>,</w:t>
      </w:r>
      <w:r w:rsidRPr="00842452">
        <w:t xml:space="preserve"> le </w:t>
      </w:r>
      <w:r w:rsidR="00842452">
        <w:t xml:space="preserve">niveau de conformité du </w:t>
      </w:r>
      <w:r w:rsidRPr="00842452">
        <w:t xml:space="preserve">fournisseur aux principes de la régulation prudentielle </w:t>
      </w:r>
      <w:r w:rsidR="00842452">
        <w:t xml:space="preserve">pourra être intégré </w:t>
      </w:r>
      <w:r w:rsidRPr="00842452">
        <w:t>dans la communication des résultats finaux par la CRE.</w:t>
      </w:r>
    </w:p>
    <w:p w14:paraId="2AFAA876" w14:textId="15C32971" w:rsidR="006F0BBE" w:rsidRPr="00766819" w:rsidRDefault="00842452" w:rsidP="006F0BBE">
      <w:pPr>
        <w:pStyle w:val="Titre3"/>
        <w:rPr>
          <w:i/>
          <w:lang w:val="fr-FR"/>
        </w:rPr>
      </w:pPr>
      <w:bookmarkStart w:id="23" w:name="_Toc232094736"/>
      <w:r>
        <w:rPr>
          <w:lang w:val="fr-FR"/>
        </w:rPr>
        <w:t>La mise en place</w:t>
      </w:r>
      <w:r w:rsidR="006F0BBE" w:rsidRPr="00766819">
        <w:rPr>
          <w:lang w:val="fr-FR"/>
        </w:rPr>
        <w:t xml:space="preserve"> du contrôle </w:t>
      </w:r>
      <w:r w:rsidR="006F0BBE" w:rsidRPr="00766819">
        <w:rPr>
          <w:i/>
          <w:lang w:val="fr-FR"/>
        </w:rPr>
        <w:t>ex-post</w:t>
      </w:r>
      <w:bookmarkEnd w:id="23"/>
    </w:p>
    <w:p w14:paraId="1D855822" w14:textId="43B7EF5F" w:rsidR="006F0BBE" w:rsidRPr="00842452" w:rsidRDefault="006F0BBE" w:rsidP="006F0BBE">
      <w:pPr>
        <w:pStyle w:val="Corpsdetexte"/>
      </w:pPr>
      <w:r w:rsidRPr="00842452">
        <w:t xml:space="preserve">Lors de chacun des guichets ultérieurs annuels du régime transitoire de la régulation prudentielle, l’adéquation du critère en couverture à chacune de ces dates de référence </w:t>
      </w:r>
      <w:r w:rsidRPr="00842452">
        <w:rPr>
          <w:i/>
        </w:rPr>
        <w:t xml:space="preserve">ex post </w:t>
      </w:r>
      <w:r w:rsidR="003631F6" w:rsidRPr="00842452">
        <w:t>est</w:t>
      </w:r>
      <w:r w:rsidRPr="00842452">
        <w:t xml:space="preserve"> évaluée. Dans le cas où le critère n’est pas respecté à une date de référence </w:t>
      </w:r>
      <w:r w:rsidRPr="00842452">
        <w:rPr>
          <w:i/>
        </w:rPr>
        <w:t>ex post</w:t>
      </w:r>
      <w:r w:rsidRPr="00842452">
        <w:t xml:space="preserve">, la CRE performera, de la même manière et selon les mêmes modalités que pour le contrôle </w:t>
      </w:r>
      <w:r w:rsidRPr="00842452">
        <w:rPr>
          <w:i/>
        </w:rPr>
        <w:t>ex ante</w:t>
      </w:r>
      <w:r w:rsidRPr="00842452">
        <w:t xml:space="preserve">, une évaluation financière (simplifiée ou approfondie selon les cas) s’appuyant sur les données financières communiquées par le fournisseur pour cette date de référence. </w:t>
      </w:r>
    </w:p>
    <w:p w14:paraId="1F92D450" w14:textId="003CC4C8" w:rsidR="006F0BBE" w:rsidRPr="00E066CF" w:rsidRDefault="006F0BBE" w:rsidP="006F0BBE">
      <w:pPr>
        <w:pStyle w:val="Corpsdetexte"/>
      </w:pPr>
      <w:r w:rsidRPr="00842452">
        <w:t xml:space="preserve">L’application d’un plan de remise en conformité ne constitue pas un dispositif pertinent pour les évaluations </w:t>
      </w:r>
      <w:r w:rsidRPr="00842452">
        <w:rPr>
          <w:i/>
        </w:rPr>
        <w:t>ex post</w:t>
      </w:r>
      <w:r w:rsidRPr="00842452">
        <w:t xml:space="preserve">, qui visent à révéler les manquements résorbés aux principes du contrôle prudentiel. </w:t>
      </w:r>
      <w:r w:rsidRPr="00842452">
        <w:lastRenderedPageBreak/>
        <w:t xml:space="preserve">Ainsi, </w:t>
      </w:r>
      <w:r w:rsidRPr="00842452">
        <w:rPr>
          <w:b/>
        </w:rPr>
        <w:t xml:space="preserve">si les résultats de ces évaluations financières révèlent une robustesse insuffisante du fournisseur, </w:t>
      </w:r>
      <w:r w:rsidR="00842452">
        <w:rPr>
          <w:b/>
        </w:rPr>
        <w:t>le niveau de conformité</w:t>
      </w:r>
      <w:r w:rsidRPr="00842452">
        <w:rPr>
          <w:b/>
        </w:rPr>
        <w:t xml:space="preserve"> du fournisseur pour la date de référence concernée </w:t>
      </w:r>
      <w:r w:rsidR="00842452">
        <w:rPr>
          <w:b/>
        </w:rPr>
        <w:t>pourra être</w:t>
      </w:r>
      <w:r w:rsidR="00842452" w:rsidRPr="00842452">
        <w:rPr>
          <w:b/>
        </w:rPr>
        <w:t xml:space="preserve"> </w:t>
      </w:r>
      <w:r w:rsidR="00842452">
        <w:rPr>
          <w:b/>
        </w:rPr>
        <w:t>explicit</w:t>
      </w:r>
      <w:r w:rsidR="00842452" w:rsidRPr="00842452">
        <w:rPr>
          <w:b/>
        </w:rPr>
        <w:t xml:space="preserve">ée </w:t>
      </w:r>
      <w:r w:rsidRPr="00842452">
        <w:rPr>
          <w:b/>
        </w:rPr>
        <w:t>dans la communication des résultats finaux.</w:t>
      </w:r>
      <w:r w:rsidR="00842452">
        <w:t xml:space="preserve"> Lors des guichets à venir, la CRE évaluera la pertinence de ce volet et pourra en amender la fréquence si nécessaire.</w:t>
      </w:r>
    </w:p>
    <w:p w14:paraId="12721DBD" w14:textId="77777777" w:rsidR="00AF5973" w:rsidRPr="00AF5973" w:rsidRDefault="00AF5973" w:rsidP="00431DD0">
      <w:pPr>
        <w:pStyle w:val="Corpsdetextedeladcision"/>
      </w:pPr>
    </w:p>
    <w:p w14:paraId="1C9A9453" w14:textId="2CB6898A" w:rsidR="00355C0F" w:rsidRDefault="00355C0F" w:rsidP="00372EFD">
      <w:pPr>
        <w:pStyle w:val="Titre2"/>
      </w:pPr>
      <w:bookmarkStart w:id="24" w:name="_Toc232094737"/>
      <w:r>
        <w:t>Calendrier des contrôles</w:t>
      </w:r>
      <w:bookmarkEnd w:id="24"/>
    </w:p>
    <w:p w14:paraId="14365EB3" w14:textId="78ABFB70" w:rsidR="00ED7FCD" w:rsidRPr="00684B3C" w:rsidRDefault="000834CB" w:rsidP="00842452">
      <w:pPr>
        <w:pStyle w:val="Corpsdetexte"/>
        <w:spacing w:line="259" w:lineRule="auto"/>
        <w:rPr>
          <w:b/>
        </w:rPr>
      </w:pPr>
      <w:r>
        <w:t>Depuis</w:t>
      </w:r>
      <w:r w:rsidR="00CD6827">
        <w:t xml:space="preserve"> l’année 2026, </w:t>
      </w:r>
      <w:r w:rsidR="002E593B">
        <w:t>l</w:t>
      </w:r>
      <w:r w:rsidR="00355C0F">
        <w:t xml:space="preserve">a CRE </w:t>
      </w:r>
      <w:r w:rsidR="008960BD">
        <w:t>instaure</w:t>
      </w:r>
      <w:r w:rsidR="00355C0F">
        <w:t xml:space="preserve"> </w:t>
      </w:r>
      <w:r w:rsidR="00694C76">
        <w:t xml:space="preserve">un calendrier régulier </w:t>
      </w:r>
      <w:r w:rsidR="00E332D9">
        <w:t xml:space="preserve">dans le cadre </w:t>
      </w:r>
      <w:r w:rsidR="00B36E90">
        <w:t xml:space="preserve">de la phase dite « ultérieure » </w:t>
      </w:r>
      <w:r w:rsidR="00E332D9">
        <w:t>du dispositif</w:t>
      </w:r>
      <w:r w:rsidR="00694C76">
        <w:t xml:space="preserve"> </w:t>
      </w:r>
      <w:r w:rsidR="00387D4B">
        <w:t>de « guichet à blanc »</w:t>
      </w:r>
      <w:r w:rsidR="00355C0F">
        <w:t>, e</w:t>
      </w:r>
      <w:r w:rsidR="002E593B">
        <w:t>n appliquan</w:t>
      </w:r>
      <w:r w:rsidR="00355C0F">
        <w:t xml:space="preserve">t </w:t>
      </w:r>
      <w:r w:rsidR="006D5D8A">
        <w:t>le</w:t>
      </w:r>
      <w:r w:rsidR="00355C0F">
        <w:t xml:space="preserve"> volet de surveillance</w:t>
      </w:r>
      <w:r w:rsidR="006D5D8A">
        <w:t xml:space="preserve"> de la régulation prudentielle</w:t>
      </w:r>
      <w:r w:rsidR="00C51801">
        <w:t xml:space="preserve"> qu’elle</w:t>
      </w:r>
      <w:r w:rsidR="001F4A62">
        <w:t xml:space="preserve"> </w:t>
      </w:r>
      <w:r w:rsidR="00795096">
        <w:t>propose</w:t>
      </w:r>
      <w:r w:rsidR="00A74263">
        <w:t xml:space="preserve"> à une fréquence annuelle</w:t>
      </w:r>
      <w:r w:rsidR="00C821A6">
        <w:t xml:space="preserve">, </w:t>
      </w:r>
      <w:r w:rsidR="008C5122">
        <w:t xml:space="preserve">dans l’attente d’un </w:t>
      </w:r>
      <w:r w:rsidR="009D04B6">
        <w:t xml:space="preserve">cadre législatif </w:t>
      </w:r>
      <w:r w:rsidR="008C5122">
        <w:t>dédié</w:t>
      </w:r>
      <w:r w:rsidR="00AA33D6">
        <w:t xml:space="preserve">. </w:t>
      </w:r>
      <w:r w:rsidR="009D04B6">
        <w:t>La CRE</w:t>
      </w:r>
      <w:r w:rsidR="00AA33D6">
        <w:t xml:space="preserve"> souhaite </w:t>
      </w:r>
      <w:r w:rsidR="009D04B6">
        <w:t xml:space="preserve">que </w:t>
      </w:r>
      <w:r w:rsidR="00ED50B4">
        <w:t>le cadre législatif permette d’appliqu</w:t>
      </w:r>
      <w:r w:rsidR="002765C7">
        <w:t>e</w:t>
      </w:r>
      <w:r w:rsidR="00C121A4">
        <w:t>r</w:t>
      </w:r>
      <w:r w:rsidR="002765C7">
        <w:t xml:space="preserve"> le dispositif proposé en </w:t>
      </w:r>
      <w:r w:rsidR="00991B8D">
        <w:t>le</w:t>
      </w:r>
      <w:r w:rsidR="00A74263">
        <w:t xml:space="preserve"> </w:t>
      </w:r>
      <w:r w:rsidR="00017DA5">
        <w:t>complét</w:t>
      </w:r>
      <w:r w:rsidR="00A74263">
        <w:t>ant</w:t>
      </w:r>
      <w:r w:rsidR="00017DA5">
        <w:t xml:space="preserve"> par </w:t>
      </w:r>
      <w:r w:rsidR="00ED50B4">
        <w:t>un</w:t>
      </w:r>
      <w:r w:rsidR="00355C0F">
        <w:t xml:space="preserve"> volet </w:t>
      </w:r>
      <w:r w:rsidR="57B572E8">
        <w:t xml:space="preserve">relatif </w:t>
      </w:r>
      <w:r w:rsidR="0001479D">
        <w:t>aux sanctions</w:t>
      </w:r>
      <w:r w:rsidR="00355C0F">
        <w:t>.</w:t>
      </w:r>
    </w:p>
    <w:p w14:paraId="6281B80E" w14:textId="2812794D" w:rsidR="000C0624" w:rsidRDefault="00912FE2" w:rsidP="003A0220">
      <w:r w:rsidRPr="00C340FC">
        <w:t>Dans le cadre d</w:t>
      </w:r>
      <w:r w:rsidR="00B36E90" w:rsidRPr="00C340FC">
        <w:t xml:space="preserve">e </w:t>
      </w:r>
      <w:r w:rsidR="00D960C8" w:rsidRPr="00C340FC">
        <w:t>cette</w:t>
      </w:r>
      <w:r w:rsidR="00B36E90" w:rsidRPr="00C340FC">
        <w:t xml:space="preserve"> phase ultérieure </w:t>
      </w:r>
      <w:r w:rsidR="00BE1935" w:rsidRPr="00C340FC">
        <w:t>dans laquelle la CRE met en œuvre des guichets annuels</w:t>
      </w:r>
      <w:r w:rsidR="00467998" w:rsidRPr="00C340FC">
        <w:t xml:space="preserve">, </w:t>
      </w:r>
      <w:r w:rsidR="003472E4" w:rsidRPr="00C340FC">
        <w:t>les</w:t>
      </w:r>
      <w:r w:rsidR="00BE6A5D" w:rsidRPr="00C340FC">
        <w:t xml:space="preserve"> dates de collecte des données de la CRE auprès des fournisseurs</w:t>
      </w:r>
      <w:r w:rsidR="00DE22AB" w:rsidRPr="00C340FC">
        <w:t xml:space="preserve"> seront alignées sur le </w:t>
      </w:r>
      <w:r w:rsidR="69E52F75" w:rsidRPr="00C340FC">
        <w:t>calendrier</w:t>
      </w:r>
      <w:r w:rsidR="001B21D4" w:rsidRPr="00C340FC">
        <w:t xml:space="preserve"> </w:t>
      </w:r>
      <w:r w:rsidR="00EA7907" w:rsidRPr="00C340FC">
        <w:t>de</w:t>
      </w:r>
      <w:r w:rsidR="1C65DF40" w:rsidRPr="00C340FC">
        <w:t>s</w:t>
      </w:r>
      <w:r w:rsidR="00EA7907" w:rsidRPr="00C340FC">
        <w:t xml:space="preserve"> article</w:t>
      </w:r>
      <w:r w:rsidR="03628811" w:rsidRPr="00C340FC">
        <w:t>s</w:t>
      </w:r>
      <w:r w:rsidR="00EA7907" w:rsidRPr="00C340FC">
        <w:t xml:space="preserve"> R</w:t>
      </w:r>
      <w:r w:rsidR="381E183C" w:rsidRPr="00C340FC">
        <w:t xml:space="preserve">. </w:t>
      </w:r>
      <w:r w:rsidR="00EA7907" w:rsidRPr="00C340FC">
        <w:t>333-3</w:t>
      </w:r>
      <w:r w:rsidR="00C50D6A" w:rsidRPr="00C340FC">
        <w:t xml:space="preserve"> </w:t>
      </w:r>
      <w:r w:rsidR="756FB9F4" w:rsidRPr="00C340FC">
        <w:t>e</w:t>
      </w:r>
      <w:r w:rsidR="507C1DA6" w:rsidRPr="00C340FC">
        <w:t xml:space="preserve">t </w:t>
      </w:r>
      <w:r w:rsidR="00C50D6A" w:rsidRPr="00C340FC">
        <w:t>R</w:t>
      </w:r>
      <w:r w:rsidR="233C07D1" w:rsidRPr="00C340FC">
        <w:t xml:space="preserve">. </w:t>
      </w:r>
      <w:r w:rsidR="00C50D6A" w:rsidRPr="00C340FC">
        <w:t>443-7</w:t>
      </w:r>
      <w:r w:rsidR="00EA7907" w:rsidRPr="00C340FC">
        <w:t xml:space="preserve"> </w:t>
      </w:r>
      <w:r w:rsidR="00EC1752" w:rsidRPr="00C340FC">
        <w:t xml:space="preserve">du code de l’énergie </w:t>
      </w:r>
      <w:r w:rsidR="00104AE6" w:rsidRPr="00C340FC">
        <w:t>concernant</w:t>
      </w:r>
      <w:r w:rsidR="001B21D4" w:rsidRPr="00C340FC">
        <w:t xml:space="preserve"> la « mise à jour des données relatives</w:t>
      </w:r>
      <w:r w:rsidR="00DE22AB" w:rsidRPr="00C340FC">
        <w:t xml:space="preserve"> </w:t>
      </w:r>
      <w:r w:rsidR="00DF2921" w:rsidRPr="00C340FC">
        <w:t>à [l</w:t>
      </w:r>
      <w:proofErr w:type="gramStart"/>
      <w:r w:rsidR="00DF2921" w:rsidRPr="00C340FC">
        <w:t>’]</w:t>
      </w:r>
      <w:r w:rsidR="00A15B23" w:rsidRPr="00C340FC">
        <w:t>activité</w:t>
      </w:r>
      <w:proofErr w:type="gramEnd"/>
      <w:r w:rsidR="00A15B23" w:rsidRPr="00C340FC">
        <w:t xml:space="preserve"> de fourniture] »</w:t>
      </w:r>
      <w:r w:rsidR="00EC1752" w:rsidRPr="00C340FC">
        <w:t xml:space="preserve"> </w:t>
      </w:r>
      <w:r w:rsidR="693E7AA9" w:rsidRPr="00C340FC">
        <w:t>respectivement</w:t>
      </w:r>
      <w:r w:rsidR="00EC1752" w:rsidRPr="00C340FC">
        <w:t xml:space="preserve"> en électricité</w:t>
      </w:r>
      <w:r w:rsidR="00DD318A" w:rsidRPr="00C340FC">
        <w:t xml:space="preserve"> </w:t>
      </w:r>
      <w:r w:rsidR="11C506B2" w:rsidRPr="00C340FC">
        <w:t>et en gaz</w:t>
      </w:r>
      <w:r w:rsidR="00920D0A" w:rsidRPr="00C340FC">
        <w:t>.</w:t>
      </w:r>
      <w:r w:rsidR="003472E4" w:rsidRPr="00C340FC">
        <w:t xml:space="preserve"> </w:t>
      </w:r>
      <w:r w:rsidR="00F2368E" w:rsidRPr="00C340FC">
        <w:rPr>
          <w:b/>
        </w:rPr>
        <w:t xml:space="preserve">Les </w:t>
      </w:r>
      <w:r w:rsidR="001A29F1" w:rsidRPr="00C340FC">
        <w:rPr>
          <w:b/>
        </w:rPr>
        <w:t xml:space="preserve">fournisseurs </w:t>
      </w:r>
      <w:r w:rsidR="00524C47" w:rsidRPr="00C340FC">
        <w:rPr>
          <w:b/>
        </w:rPr>
        <w:t xml:space="preserve">devront </w:t>
      </w:r>
      <w:r w:rsidR="002361FC" w:rsidRPr="00C340FC">
        <w:rPr>
          <w:b/>
        </w:rPr>
        <w:t xml:space="preserve">ainsi </w:t>
      </w:r>
      <w:r w:rsidR="00524C47" w:rsidRPr="00C340FC">
        <w:rPr>
          <w:b/>
        </w:rPr>
        <w:t xml:space="preserve">transmettre </w:t>
      </w:r>
      <w:r w:rsidR="009305C9" w:rsidRPr="00C340FC">
        <w:rPr>
          <w:b/>
        </w:rPr>
        <w:t xml:space="preserve">à la CRE </w:t>
      </w:r>
      <w:r w:rsidR="00B21697" w:rsidRPr="00C340FC">
        <w:rPr>
          <w:b/>
        </w:rPr>
        <w:t>l</w:t>
      </w:r>
      <w:r w:rsidR="007F4116" w:rsidRPr="00C340FC">
        <w:rPr>
          <w:b/>
        </w:rPr>
        <w:t xml:space="preserve">es données </w:t>
      </w:r>
      <w:r w:rsidR="009305C9" w:rsidRPr="00C340FC">
        <w:rPr>
          <w:b/>
        </w:rPr>
        <w:t xml:space="preserve">listées en </w:t>
      </w:r>
      <w:r w:rsidR="009305C9" w:rsidRPr="00842452">
        <w:rPr>
          <w:b/>
        </w:rPr>
        <w:t xml:space="preserve">annexe </w:t>
      </w:r>
      <w:r w:rsidR="004C53A4" w:rsidRPr="00842452">
        <w:rPr>
          <w:b/>
        </w:rPr>
        <w:t>1</w:t>
      </w:r>
      <w:r w:rsidR="009305C9" w:rsidRPr="00842452">
        <w:rPr>
          <w:b/>
        </w:rPr>
        <w:t xml:space="preserve"> </w:t>
      </w:r>
      <w:r w:rsidR="009C37EC" w:rsidRPr="00C340FC">
        <w:rPr>
          <w:b/>
        </w:rPr>
        <w:t xml:space="preserve">à la CRE </w:t>
      </w:r>
      <w:r w:rsidR="00272159" w:rsidRPr="00C340FC">
        <w:rPr>
          <w:b/>
        </w:rPr>
        <w:t xml:space="preserve">avant le </w:t>
      </w:r>
      <w:r w:rsidR="009C37EC" w:rsidRPr="00C340FC">
        <w:rPr>
          <w:b/>
        </w:rPr>
        <w:t>1</w:t>
      </w:r>
      <w:r w:rsidR="009C37EC" w:rsidRPr="00C340FC">
        <w:rPr>
          <w:b/>
          <w:vertAlign w:val="superscript"/>
        </w:rPr>
        <w:t>er</w:t>
      </w:r>
      <w:r w:rsidR="009C37EC" w:rsidRPr="00C340FC">
        <w:rPr>
          <w:b/>
        </w:rPr>
        <w:t xml:space="preserve"> mai </w:t>
      </w:r>
      <w:r w:rsidR="19E2474A" w:rsidRPr="00C340FC">
        <w:rPr>
          <w:b/>
        </w:rPr>
        <w:t>de chaque année</w:t>
      </w:r>
      <w:r w:rsidR="009C37EC" w:rsidRPr="00C340FC">
        <w:rPr>
          <w:b/>
        </w:rPr>
        <w:t xml:space="preserve"> en gaz, et avant le </w:t>
      </w:r>
      <w:r w:rsidR="00272159" w:rsidRPr="00C340FC">
        <w:rPr>
          <w:b/>
        </w:rPr>
        <w:t xml:space="preserve">30 septembre </w:t>
      </w:r>
      <w:r w:rsidR="4B91E123" w:rsidRPr="00C340FC">
        <w:rPr>
          <w:b/>
        </w:rPr>
        <w:t>de chaque année</w:t>
      </w:r>
      <w:r w:rsidR="00272159" w:rsidRPr="00C340FC">
        <w:rPr>
          <w:b/>
        </w:rPr>
        <w:t xml:space="preserve"> </w:t>
      </w:r>
      <w:r w:rsidR="00B21697" w:rsidRPr="00C340FC">
        <w:rPr>
          <w:b/>
        </w:rPr>
        <w:t>en électricité</w:t>
      </w:r>
      <w:r w:rsidR="004F2D10" w:rsidRPr="00C340FC">
        <w:rPr>
          <w:b/>
        </w:rPr>
        <w:t>.</w:t>
      </w:r>
      <w:r w:rsidR="00B21697" w:rsidRPr="00C340FC">
        <w:rPr>
          <w:b/>
        </w:rPr>
        <w:t xml:space="preserve"> </w:t>
      </w:r>
      <w:r w:rsidR="00524C47" w:rsidRPr="00C340FC">
        <w:rPr>
          <w:b/>
        </w:rPr>
        <w:t xml:space="preserve"> </w:t>
      </w:r>
      <w:r w:rsidR="000834CB" w:rsidRPr="00C340FC">
        <w:rPr>
          <w:b/>
        </w:rPr>
        <w:t>L</w:t>
      </w:r>
      <w:r w:rsidR="00FE3759" w:rsidRPr="00842452">
        <w:rPr>
          <w:b/>
        </w:rPr>
        <w:t xml:space="preserve">a phase ultérieure </w:t>
      </w:r>
      <w:r w:rsidR="000834CB" w:rsidRPr="00C340FC">
        <w:rPr>
          <w:b/>
        </w:rPr>
        <w:t xml:space="preserve">des guichets annuels </w:t>
      </w:r>
      <w:r w:rsidR="00FE3759" w:rsidRPr="00842452">
        <w:rPr>
          <w:b/>
        </w:rPr>
        <w:t>débute</w:t>
      </w:r>
      <w:r w:rsidR="000834CB" w:rsidRPr="00C340FC">
        <w:rPr>
          <w:b/>
        </w:rPr>
        <w:t xml:space="preserve"> avec le guichet électricité qui a pour date de clôture le</w:t>
      </w:r>
      <w:r w:rsidR="00FE3759" w:rsidRPr="00842452">
        <w:rPr>
          <w:b/>
        </w:rPr>
        <w:t xml:space="preserve"> 30 septembre.</w:t>
      </w:r>
      <w:r w:rsidR="00FE3759" w:rsidRPr="00C340FC">
        <w:rPr>
          <w:b/>
        </w:rPr>
        <w:t xml:space="preserve"> </w:t>
      </w:r>
      <w:r w:rsidR="000834CB" w:rsidRPr="00C340FC">
        <w:t>L</w:t>
      </w:r>
      <w:r w:rsidR="00DA51C0" w:rsidRPr="00C340FC" w:rsidDel="009A5F4D">
        <w:t>a CRE communiquera les résultats</w:t>
      </w:r>
      <w:r w:rsidR="000834CB" w:rsidRPr="00C340FC">
        <w:t xml:space="preserve"> des guichets annuels</w:t>
      </w:r>
      <w:r w:rsidR="00DA51C0" w:rsidRPr="00C340FC" w:rsidDel="009A5F4D">
        <w:t xml:space="preserve"> </w:t>
      </w:r>
      <w:r w:rsidR="003A5E8B" w:rsidRPr="00C340FC">
        <w:t xml:space="preserve">sur la bonne application des principes </w:t>
      </w:r>
      <w:r w:rsidR="00DA51C0" w:rsidRPr="00C340FC" w:rsidDel="009A5F4D">
        <w:t>de la régulation prudentielle, au plus tard six mois après la tenue des guichets respectifs en gaz naturel et en électricité.</w:t>
      </w:r>
      <w:r w:rsidR="00346842" w:rsidRPr="00965942" w:rsidDel="009A5F4D">
        <w:t xml:space="preserve"> </w:t>
      </w:r>
    </w:p>
    <w:p w14:paraId="65B12B80" w14:textId="7C5E690D" w:rsidR="00B25800" w:rsidRPr="00355C0F" w:rsidRDefault="00B25800" w:rsidP="003A0220"/>
    <w:p w14:paraId="5CABA458" w14:textId="67B01318" w:rsidR="00672BB7" w:rsidRDefault="00672BB7" w:rsidP="00672BB7">
      <w:pPr>
        <w:pStyle w:val="Titre1"/>
      </w:pPr>
      <w:bookmarkStart w:id="25" w:name="_Toc232094738"/>
      <w:r>
        <w:t xml:space="preserve">Définition </w:t>
      </w:r>
      <w:r w:rsidR="006963A1">
        <w:t>du critère</w:t>
      </w:r>
      <w:r>
        <w:t xml:space="preserve"> </w:t>
      </w:r>
      <w:r w:rsidR="006963A1">
        <w:t>en</w:t>
      </w:r>
      <w:r>
        <w:t xml:space="preserve"> couverture des fournisseurs</w:t>
      </w:r>
      <w:bookmarkEnd w:id="25"/>
    </w:p>
    <w:p w14:paraId="71EA3695" w14:textId="193B4F8F" w:rsidR="00EF50DC" w:rsidRDefault="00EF50DC" w:rsidP="00372EFD">
      <w:pPr>
        <w:pStyle w:val="Titre2"/>
      </w:pPr>
      <w:bookmarkStart w:id="26" w:name="_Toc232094739"/>
      <w:r w:rsidRPr="00EF50DC">
        <w:t xml:space="preserve">Dimensionnement et suivi </w:t>
      </w:r>
      <w:r w:rsidR="00A9063C">
        <w:t>du critère en</w:t>
      </w:r>
      <w:r>
        <w:t xml:space="preserve"> couverture</w:t>
      </w:r>
      <w:bookmarkEnd w:id="26"/>
    </w:p>
    <w:p w14:paraId="245E66C7" w14:textId="3464A8DF" w:rsidR="00EF50DC" w:rsidRPr="007F7DAF" w:rsidRDefault="00305AD4" w:rsidP="008B4A2B">
      <w:pPr>
        <w:pStyle w:val="Titre3"/>
      </w:pPr>
      <w:bookmarkStart w:id="27" w:name="_Toc232094740"/>
      <w:r w:rsidRPr="00BF068D">
        <w:t>Un contrôle à double vole</w:t>
      </w:r>
      <w:r w:rsidR="00697B0B" w:rsidRPr="00BF068D">
        <w:t>t</w:t>
      </w:r>
      <w:bookmarkEnd w:id="27"/>
    </w:p>
    <w:p w14:paraId="17933A79" w14:textId="4C9D82B0" w:rsidR="00D36CAA" w:rsidRDefault="000834CB" w:rsidP="00DA308B">
      <w:pPr>
        <w:pStyle w:val="Corpsdetextedeladcision"/>
      </w:pPr>
      <w:r>
        <w:t>L</w:t>
      </w:r>
      <w:r w:rsidR="00A42786">
        <w:t>a</w:t>
      </w:r>
      <w:r w:rsidR="002868CD">
        <w:t xml:space="preserve"> CRE </w:t>
      </w:r>
      <w:r>
        <w:t>met</w:t>
      </w:r>
      <w:r w:rsidR="001568FA">
        <w:t xml:space="preserve"> en place un système de</w:t>
      </w:r>
      <w:r w:rsidR="002868CD">
        <w:t xml:space="preserve"> double </w:t>
      </w:r>
      <w:r w:rsidR="009C62D8">
        <w:t>contrôle</w:t>
      </w:r>
      <w:r w:rsidR="4B46E7F4">
        <w:t xml:space="preserve">. </w:t>
      </w:r>
      <w:r w:rsidR="00645F5F">
        <w:t xml:space="preserve">Ce </w:t>
      </w:r>
      <w:r w:rsidR="00DC46D7">
        <w:t>système</w:t>
      </w:r>
      <w:r w:rsidR="0099083A">
        <w:t>,</w:t>
      </w:r>
      <w:r w:rsidR="00DC46D7">
        <w:t xml:space="preserve"> qui </w:t>
      </w:r>
      <w:r w:rsidR="003520F2">
        <w:t>prendra place</w:t>
      </w:r>
      <w:r w:rsidR="00DC46D7">
        <w:t xml:space="preserve"> au sein d’un même guichet</w:t>
      </w:r>
      <w:r w:rsidR="0099083A">
        <w:t>,</w:t>
      </w:r>
      <w:r w:rsidR="00F277EB">
        <w:t xml:space="preserve"> permettra d’évaluer les engagements </w:t>
      </w:r>
      <w:r w:rsidR="00592319">
        <w:t>prévisionnels</w:t>
      </w:r>
      <w:r w:rsidR="009F5A18">
        <w:t xml:space="preserve"> </w:t>
      </w:r>
      <w:r w:rsidR="009C7659">
        <w:t>à une date récente</w:t>
      </w:r>
      <w:r w:rsidR="00A635E3">
        <w:t xml:space="preserve"> </w:t>
      </w:r>
      <w:r w:rsidR="009F5A18">
        <w:t>d’une part</w:t>
      </w:r>
      <w:r w:rsidR="00EF3427">
        <w:t xml:space="preserve">, </w:t>
      </w:r>
      <w:r w:rsidR="009C7659">
        <w:t>dans le cadre du</w:t>
      </w:r>
      <w:r w:rsidR="00537957">
        <w:t xml:space="preserve"> </w:t>
      </w:r>
      <w:r w:rsidR="00866DFB">
        <w:t>« </w:t>
      </w:r>
      <w:r w:rsidR="00EF3427">
        <w:t xml:space="preserve">contrôle </w:t>
      </w:r>
      <w:r w:rsidR="00EF3427" w:rsidRPr="00684B3C">
        <w:rPr>
          <w:i/>
          <w:iCs/>
        </w:rPr>
        <w:t>ex-ante</w:t>
      </w:r>
      <w:r w:rsidR="00866DFB">
        <w:t> »</w:t>
      </w:r>
      <w:r w:rsidR="00EF3427">
        <w:t xml:space="preserve">, </w:t>
      </w:r>
      <w:r w:rsidR="009F5A18">
        <w:t xml:space="preserve">et </w:t>
      </w:r>
      <w:r w:rsidR="008360C9">
        <w:t xml:space="preserve">de </w:t>
      </w:r>
      <w:r w:rsidR="00884581">
        <w:t>suivre</w:t>
      </w:r>
      <w:r w:rsidR="00B502ED">
        <w:t>,</w:t>
      </w:r>
      <w:r w:rsidR="009F5A18">
        <w:t xml:space="preserve"> </w:t>
      </w:r>
      <w:r w:rsidR="003932DF">
        <w:t>au cours de l’année écoulée</w:t>
      </w:r>
      <w:r w:rsidR="00B502ED">
        <w:t>,</w:t>
      </w:r>
      <w:r w:rsidR="003932DF">
        <w:t xml:space="preserve"> </w:t>
      </w:r>
      <w:r w:rsidR="00573DEB">
        <w:t>la conformité de</w:t>
      </w:r>
      <w:r w:rsidR="003306BF">
        <w:t xml:space="preserve"> la stratégie d’approvisionnement et le respect du</w:t>
      </w:r>
      <w:r w:rsidR="00884581">
        <w:t xml:space="preserve"> critère en couverture</w:t>
      </w:r>
      <w:r w:rsidR="00866DFB">
        <w:t xml:space="preserve">, </w:t>
      </w:r>
      <w:r w:rsidR="009C7659">
        <w:t xml:space="preserve">dans le cadre d’un </w:t>
      </w:r>
      <w:r w:rsidR="00955E3A">
        <w:t xml:space="preserve">second volet appelé </w:t>
      </w:r>
      <w:r w:rsidR="00866DFB">
        <w:t xml:space="preserve">« contrôle </w:t>
      </w:r>
      <w:r w:rsidR="00866DFB" w:rsidRPr="00684B3C">
        <w:rPr>
          <w:i/>
          <w:iCs/>
        </w:rPr>
        <w:t>ex-post</w:t>
      </w:r>
      <w:r w:rsidR="00866DFB">
        <w:t> ».</w:t>
      </w:r>
      <w:r w:rsidR="009F5A18">
        <w:t xml:space="preserve"> </w:t>
      </w:r>
    </w:p>
    <w:p w14:paraId="6EBD3EDD" w14:textId="17B293C6" w:rsidR="00AC6495" w:rsidRDefault="000834CB" w:rsidP="003855C3">
      <w:r w:rsidRPr="00361D3E">
        <w:t>C</w:t>
      </w:r>
      <w:r w:rsidR="00CF3DA2">
        <w:t>ette</w:t>
      </w:r>
      <w:r w:rsidR="00DA308B" w:rsidDel="00CF3DA2">
        <w:t xml:space="preserve"> </w:t>
      </w:r>
      <w:r w:rsidR="00DA308B" w:rsidRPr="00F76241">
        <w:t>mesure</w:t>
      </w:r>
      <w:r w:rsidR="000457D6">
        <w:t xml:space="preserve"> </w:t>
      </w:r>
      <w:r w:rsidR="00907CA6">
        <w:t xml:space="preserve">sert de </w:t>
      </w:r>
      <w:r w:rsidR="00DA0FC5">
        <w:t xml:space="preserve">garde-fou </w:t>
      </w:r>
      <w:r w:rsidR="00E5249A">
        <w:t xml:space="preserve">pour </w:t>
      </w:r>
      <w:r w:rsidR="008F02E8">
        <w:t>prévenir</w:t>
      </w:r>
      <w:r w:rsidR="00B727AF">
        <w:t xml:space="preserve"> tout</w:t>
      </w:r>
      <w:r w:rsidR="00387E16">
        <w:t xml:space="preserve">e stratégie </w:t>
      </w:r>
      <w:r w:rsidR="00A22372">
        <w:t xml:space="preserve">visant à contourner </w:t>
      </w:r>
      <w:r w:rsidR="00FF6976">
        <w:t>les</w:t>
      </w:r>
      <w:r w:rsidR="00387E16">
        <w:t xml:space="preserve"> règles prudentielles</w:t>
      </w:r>
      <w:r w:rsidR="00FF6976">
        <w:t>,</w:t>
      </w:r>
      <w:r w:rsidR="00387E16">
        <w:t xml:space="preserve"> </w:t>
      </w:r>
      <w:r w:rsidR="00757041">
        <w:t xml:space="preserve">en </w:t>
      </w:r>
      <w:r w:rsidR="00FF6976">
        <w:t xml:space="preserve">profitant de </w:t>
      </w:r>
      <w:r w:rsidR="00757041">
        <w:t>l’intervalle</w:t>
      </w:r>
      <w:r w:rsidR="00387E16">
        <w:t xml:space="preserve"> </w:t>
      </w:r>
      <w:r w:rsidR="00702010">
        <w:t>entre deux contrôles annuels</w:t>
      </w:r>
      <w:r w:rsidR="00DA308B" w:rsidRPr="00F76241">
        <w:t xml:space="preserve">. </w:t>
      </w:r>
    </w:p>
    <w:p w14:paraId="7F9B14F6" w14:textId="2E747CE0" w:rsidR="00127163" w:rsidRDefault="00127163" w:rsidP="003855C3">
      <w:r>
        <w:t>L</w:t>
      </w:r>
      <w:r w:rsidR="0092353C">
        <w:t>a</w:t>
      </w:r>
      <w:r>
        <w:t xml:space="preserve"> CRE défini les </w:t>
      </w:r>
      <w:r w:rsidR="00C74057">
        <w:t>temporalité</w:t>
      </w:r>
      <w:r w:rsidR="00742474">
        <w:t>s</w:t>
      </w:r>
      <w:r w:rsidR="0092353C">
        <w:t xml:space="preserve"> suivant</w:t>
      </w:r>
      <w:r w:rsidR="00C74057">
        <w:t>e</w:t>
      </w:r>
      <w:r w:rsidR="0092353C">
        <w:t>s :</w:t>
      </w:r>
    </w:p>
    <w:p w14:paraId="2C40530B" w14:textId="09099111" w:rsidR="00937CAD" w:rsidRDefault="00937CAD" w:rsidP="003855C3">
      <w:r w:rsidRPr="00684B3C">
        <w:rPr>
          <w:i/>
        </w:rPr>
        <w:t>Date des guichets annuels :</w:t>
      </w:r>
      <w:r>
        <w:t xml:space="preserve"> date limite pour transmettre les </w:t>
      </w:r>
      <w:r w:rsidR="00D17C71">
        <w:t xml:space="preserve">déclarations et documents </w:t>
      </w:r>
      <w:r w:rsidR="00841894">
        <w:t xml:space="preserve">relatifs </w:t>
      </w:r>
      <w:r w:rsidR="006208F7">
        <w:t xml:space="preserve">au régime transitoire de la régulation </w:t>
      </w:r>
      <w:r w:rsidR="005908BD">
        <w:t>prudentielle. I</w:t>
      </w:r>
      <w:r w:rsidR="000B5A3A">
        <w:t>l en existe une unique par vecteur éner</w:t>
      </w:r>
      <w:r w:rsidR="006C268E">
        <w:t>gétique.</w:t>
      </w:r>
    </w:p>
    <w:p w14:paraId="1AF244E5" w14:textId="5C6510BF" w:rsidR="0092353C" w:rsidRDefault="007B6B8F" w:rsidP="003855C3">
      <w:r w:rsidRPr="00684B3C">
        <w:rPr>
          <w:i/>
        </w:rPr>
        <w:t>Date de référence :</w:t>
      </w:r>
      <w:r>
        <w:t xml:space="preserve"> </w:t>
      </w:r>
      <w:r w:rsidR="00E57148">
        <w:t xml:space="preserve">date à laquelle </w:t>
      </w:r>
      <w:r w:rsidR="008A31E6">
        <w:t>sont</w:t>
      </w:r>
      <w:r w:rsidR="00E57148">
        <w:t xml:space="preserve"> vu</w:t>
      </w:r>
      <w:r w:rsidR="008A31E6">
        <w:t>s</w:t>
      </w:r>
      <w:r w:rsidR="00E57148">
        <w:t xml:space="preserve"> les engagements de couvertur</w:t>
      </w:r>
      <w:r w:rsidR="008A31E6">
        <w:t xml:space="preserve">es et les prévisions de consommation du portefeuille. Il en existe </w:t>
      </w:r>
      <w:r w:rsidR="00A22E66">
        <w:t xml:space="preserve">une unique </w:t>
      </w:r>
      <w:r w:rsidR="001C5743">
        <w:t xml:space="preserve">par vecteur énergétique </w:t>
      </w:r>
      <w:r w:rsidR="00A22E66">
        <w:t>pour le contr</w:t>
      </w:r>
      <w:r w:rsidR="00EE2A31">
        <w:t>ôle ex-ante</w:t>
      </w:r>
      <w:r w:rsidR="001C5743">
        <w:t xml:space="preserve"> et 3 p</w:t>
      </w:r>
      <w:r w:rsidR="00937CAD">
        <w:t xml:space="preserve">ar vecteur énergétique </w:t>
      </w:r>
      <w:r w:rsidR="001C5743">
        <w:t xml:space="preserve">pour le </w:t>
      </w:r>
      <w:r w:rsidR="00937CAD">
        <w:t>contrôle ex-post.</w:t>
      </w:r>
    </w:p>
    <w:p w14:paraId="77B7B68D" w14:textId="49CF34F7" w:rsidR="00D22DE1" w:rsidRPr="00AC6495" w:rsidRDefault="00D22DE1" w:rsidP="003855C3">
      <w:r>
        <w:t xml:space="preserve">En synthèse, la CRE </w:t>
      </w:r>
      <w:r w:rsidR="00E70DF1">
        <w:t>défini</w:t>
      </w:r>
      <w:r w:rsidR="00257B60">
        <w:t>t</w:t>
      </w:r>
      <w:r w:rsidR="00E70DF1">
        <w:t> </w:t>
      </w:r>
      <w:r>
        <w:t>:</w:t>
      </w:r>
    </w:p>
    <w:p w14:paraId="4251E0B3" w14:textId="0DAE15AF" w:rsidR="00656034" w:rsidRDefault="00D22DE1" w:rsidP="00C33521">
      <w:pPr>
        <w:pStyle w:val="Paragraphedeliste"/>
        <w:numPr>
          <w:ilvl w:val="0"/>
          <w:numId w:val="43"/>
        </w:numPr>
        <w:tabs>
          <w:tab w:val="clear" w:pos="2160"/>
        </w:tabs>
        <w:ind w:left="426"/>
      </w:pPr>
      <w:r w:rsidRPr="00012955">
        <w:rPr>
          <w:u w:val="single"/>
        </w:rPr>
        <w:t>Pour le c</w:t>
      </w:r>
      <w:r w:rsidR="00DA308B" w:rsidRPr="00BF068D">
        <w:rPr>
          <w:u w:val="single"/>
        </w:rPr>
        <w:t xml:space="preserve">ontrôle </w:t>
      </w:r>
      <w:r w:rsidR="00DA308B" w:rsidRPr="00431DD0">
        <w:rPr>
          <w:u w:val="single"/>
        </w:rPr>
        <w:t>ex ante</w:t>
      </w:r>
      <w:r w:rsidR="00B93726">
        <w:rPr>
          <w:u w:val="single"/>
        </w:rPr>
        <w:t> </w:t>
      </w:r>
      <w:r w:rsidR="00DA308B" w:rsidRPr="00431DD0">
        <w:rPr>
          <w:u w:val="single"/>
        </w:rPr>
        <w:t>:</w:t>
      </w:r>
      <w:r w:rsidR="00DA308B">
        <w:t xml:space="preserve"> chaque fournisseur devra déclarer </w:t>
      </w:r>
      <w:r w:rsidR="001908CD">
        <w:t xml:space="preserve">lors du guichet annuel </w:t>
      </w:r>
      <w:r w:rsidR="00DA308B">
        <w:t xml:space="preserve">son niveau de couverture </w:t>
      </w:r>
      <w:r w:rsidR="00304B1C">
        <w:t xml:space="preserve">à </w:t>
      </w:r>
      <w:r w:rsidR="00BE5BAD">
        <w:t>date de référence</w:t>
      </w:r>
      <w:r w:rsidR="00815315">
        <w:t xml:space="preserve"> </w:t>
      </w:r>
      <w:r w:rsidR="00DA308B">
        <w:t>pour les volumes assujettis à l’obligation prudentielle</w:t>
      </w:r>
      <w:r w:rsidR="00815315">
        <w:t xml:space="preserve"> </w:t>
      </w:r>
      <w:r w:rsidR="00F82E4C">
        <w:t>selon les données collectées</w:t>
      </w:r>
      <w:r w:rsidR="00815315">
        <w:t xml:space="preserve"> à cette même date</w:t>
      </w:r>
      <w:r w:rsidR="00DA308B">
        <w:t xml:space="preserve">, </w:t>
      </w:r>
      <w:r w:rsidR="00546E4A">
        <w:t xml:space="preserve">pour une période de livraison allant </w:t>
      </w:r>
      <w:r w:rsidR="00BA01DC">
        <w:t>de la date de référence</w:t>
      </w:r>
      <w:r w:rsidR="00AF1C15">
        <w:t xml:space="preserve"> </w:t>
      </w:r>
      <w:r w:rsidR="003C1E44">
        <w:t>à</w:t>
      </w:r>
      <w:r w:rsidR="00DA308B">
        <w:t xml:space="preserve"> la dernière année sur laquelle il s’est engagé</w:t>
      </w:r>
      <w:r w:rsidR="00B93726">
        <w:t> </w:t>
      </w:r>
      <w:r w:rsidR="00012955">
        <w:t xml:space="preserve">; </w:t>
      </w:r>
    </w:p>
    <w:p w14:paraId="200222C7" w14:textId="6CFAF9DC" w:rsidR="00D22DE1" w:rsidRPr="000213B4" w:rsidRDefault="005D421A" w:rsidP="00431DD0">
      <w:pPr>
        <w:pStyle w:val="Paragraphedeliste"/>
        <w:ind w:left="426"/>
      </w:pPr>
      <w:r w:rsidRPr="00431DD0">
        <w:rPr>
          <w:b/>
          <w:bCs/>
        </w:rPr>
        <w:t>Le</w:t>
      </w:r>
      <w:r w:rsidR="00046904" w:rsidRPr="00431DD0">
        <w:rPr>
          <w:b/>
          <w:bCs/>
        </w:rPr>
        <w:t xml:space="preserve"> 1</w:t>
      </w:r>
      <w:r w:rsidR="00046904" w:rsidRPr="00431DD0">
        <w:rPr>
          <w:b/>
          <w:bCs/>
          <w:vertAlign w:val="superscript"/>
        </w:rPr>
        <w:t>er</w:t>
      </w:r>
      <w:r w:rsidR="00046904" w:rsidRPr="00431DD0">
        <w:rPr>
          <w:b/>
          <w:bCs/>
        </w:rPr>
        <w:t xml:space="preserve"> avril est retenu comme date de référence </w:t>
      </w:r>
      <w:r w:rsidR="00E03B69">
        <w:rPr>
          <w:b/>
          <w:bCs/>
        </w:rPr>
        <w:t xml:space="preserve">du contrôle </w:t>
      </w:r>
      <w:r w:rsidR="00E03B69" w:rsidRPr="00431DD0">
        <w:rPr>
          <w:b/>
          <w:bCs/>
          <w:i/>
          <w:iCs/>
        </w:rPr>
        <w:t>ex-ante</w:t>
      </w:r>
      <w:r w:rsidR="00E03B69">
        <w:rPr>
          <w:b/>
          <w:bCs/>
        </w:rPr>
        <w:t xml:space="preserve"> </w:t>
      </w:r>
      <w:r w:rsidR="00046904" w:rsidRPr="00431DD0">
        <w:rPr>
          <w:b/>
          <w:bCs/>
        </w:rPr>
        <w:t>pour le gaz, le 1</w:t>
      </w:r>
      <w:r w:rsidR="00046904" w:rsidRPr="00431DD0">
        <w:rPr>
          <w:b/>
          <w:bCs/>
          <w:vertAlign w:val="superscript"/>
        </w:rPr>
        <w:t>er</w:t>
      </w:r>
      <w:r w:rsidR="00046904" w:rsidRPr="00431DD0">
        <w:rPr>
          <w:b/>
          <w:bCs/>
        </w:rPr>
        <w:t xml:space="preserve"> juillet est retenu pour l’électricité</w:t>
      </w:r>
      <w:r w:rsidR="000213B4">
        <w:rPr>
          <w:b/>
          <w:bCs/>
        </w:rPr>
        <w:t>,</w:t>
      </w:r>
      <w:r w:rsidR="000213B4">
        <w:t xml:space="preserve"> </w:t>
      </w:r>
      <w:r w:rsidR="00011E8B">
        <w:t>puisque ces dates constituent les jalons inter-trimestriels les plus proches d</w:t>
      </w:r>
      <w:r w:rsidR="00EC2872">
        <w:t xml:space="preserve">es </w:t>
      </w:r>
      <w:r w:rsidR="00F36611">
        <w:t xml:space="preserve">dates de collecte des données évoquées en </w:t>
      </w:r>
      <w:r w:rsidR="00F36611" w:rsidRPr="00842452">
        <w:t>2.</w:t>
      </w:r>
      <w:r w:rsidR="00045662">
        <w:t>5</w:t>
      </w:r>
      <w:r w:rsidR="00D97864" w:rsidRPr="00F155CA">
        <w:t>.</w:t>
      </w:r>
      <w:r w:rsidR="00902C02">
        <w:t xml:space="preserve"> </w:t>
      </w:r>
    </w:p>
    <w:p w14:paraId="1A2F799D" w14:textId="3D108D1D" w:rsidR="00356D67" w:rsidRDefault="00D22DE1" w:rsidP="00431DD0">
      <w:pPr>
        <w:pStyle w:val="Paragraphedeliste"/>
        <w:numPr>
          <w:ilvl w:val="0"/>
          <w:numId w:val="43"/>
        </w:numPr>
        <w:tabs>
          <w:tab w:val="clear" w:pos="2160"/>
        </w:tabs>
        <w:spacing w:before="240"/>
        <w:ind w:left="425" w:hanging="357"/>
        <w:contextualSpacing w:val="0"/>
      </w:pPr>
      <w:r>
        <w:rPr>
          <w:u w:val="single"/>
        </w:rPr>
        <w:t>Pour le c</w:t>
      </w:r>
      <w:r w:rsidR="00DA308B" w:rsidRPr="00BF068D">
        <w:rPr>
          <w:u w:val="single"/>
        </w:rPr>
        <w:t xml:space="preserve">ontrôle </w:t>
      </w:r>
      <w:r w:rsidR="00DA308B" w:rsidRPr="00431DD0">
        <w:rPr>
          <w:i/>
          <w:u w:val="single"/>
        </w:rPr>
        <w:t>ex post</w:t>
      </w:r>
      <w:r w:rsidR="00B93726" w:rsidRPr="00431DD0">
        <w:rPr>
          <w:i/>
          <w:u w:val="single"/>
        </w:rPr>
        <w:t> </w:t>
      </w:r>
      <w:r w:rsidR="00DA308B" w:rsidRPr="00431DD0">
        <w:rPr>
          <w:u w:val="single"/>
        </w:rPr>
        <w:t>:</w:t>
      </w:r>
      <w:r w:rsidR="00DA308B">
        <w:t xml:space="preserve"> les éléments déclarés par les fournisseurs comprendront également une revue sur l’année écoulée </w:t>
      </w:r>
      <w:r w:rsidR="003E5053">
        <w:t>avant la date de référence du contrôle ex-ante</w:t>
      </w:r>
      <w:r w:rsidR="00C3707E">
        <w:t xml:space="preserve"> </w:t>
      </w:r>
      <w:r w:rsidR="00DA308B">
        <w:t>de la conformité de la stratégie d’approvisionnement du fournisseur. Afin</w:t>
      </w:r>
      <w:r w:rsidR="00DA308B" w:rsidDel="003C10F1">
        <w:t xml:space="preserve"> </w:t>
      </w:r>
      <w:r w:rsidR="0035059F">
        <w:t>d’atteindre un équilibre</w:t>
      </w:r>
      <w:r w:rsidR="00DA308B" w:rsidRPr="00061232">
        <w:t xml:space="preserve"> entre (i) l’exhaustivité du contrôle permise par le volet </w:t>
      </w:r>
      <w:r w:rsidR="00DA308B" w:rsidRPr="00431DD0">
        <w:rPr>
          <w:i/>
        </w:rPr>
        <w:t>ex-post</w:t>
      </w:r>
      <w:r w:rsidR="00DA308B" w:rsidRPr="00061232">
        <w:t>, et (ii) la charge opérationnelle qu’il induit</w:t>
      </w:r>
      <w:r w:rsidR="00DA308B">
        <w:t xml:space="preserve">, </w:t>
      </w:r>
      <w:r w:rsidR="00256B9D">
        <w:t>le contrôle</w:t>
      </w:r>
      <w:r w:rsidR="00DA308B">
        <w:t xml:space="preserve"> sera réalisé </w:t>
      </w:r>
      <w:r w:rsidR="00F81BB9">
        <w:t>au</w:t>
      </w:r>
      <w:r w:rsidR="00792F91">
        <w:t>x</w:t>
      </w:r>
      <w:r w:rsidR="00F81BB9">
        <w:t xml:space="preserve"> dates de références </w:t>
      </w:r>
      <w:r w:rsidR="00792F91">
        <w:t>définies comme le</w:t>
      </w:r>
      <w:r w:rsidR="004B32BF">
        <w:t xml:space="preserve"> premier jour des 3 trimestres précéd</w:t>
      </w:r>
      <w:r w:rsidR="00776E1F">
        <w:t>ant l</w:t>
      </w:r>
      <w:r w:rsidR="003C5D31">
        <w:t>a date de référenc</w:t>
      </w:r>
      <w:r w:rsidR="00776E1F">
        <w:t xml:space="preserve">e </w:t>
      </w:r>
      <w:r w:rsidR="003C5D31">
        <w:t xml:space="preserve">du </w:t>
      </w:r>
      <w:r w:rsidR="00776E1F">
        <w:t xml:space="preserve">contrôle </w:t>
      </w:r>
      <w:r w:rsidR="00776E1F" w:rsidRPr="00684B3C">
        <w:rPr>
          <w:i/>
          <w:iCs/>
        </w:rPr>
        <w:t>ex-ante</w:t>
      </w:r>
      <w:r w:rsidR="00DA308B">
        <w:t>.</w:t>
      </w:r>
    </w:p>
    <w:p w14:paraId="24D51F7A" w14:textId="38DBE2A7" w:rsidR="00A93FE3" w:rsidRDefault="0B4FA6A8">
      <w:pPr>
        <w:pStyle w:val="Paragraphedeliste"/>
        <w:spacing w:before="120"/>
        <w:ind w:left="425"/>
      </w:pPr>
      <w:r>
        <w:lastRenderedPageBreak/>
        <w:t>C</w:t>
      </w:r>
      <w:r w:rsidR="001132F2">
        <w:t>haque fournisseur devra déclarer</w:t>
      </w:r>
      <w:r w:rsidR="000274FA">
        <w:t xml:space="preserve"> </w:t>
      </w:r>
      <w:r w:rsidR="000C463D">
        <w:t xml:space="preserve">chaque année </w:t>
      </w:r>
      <w:r w:rsidR="009B1495">
        <w:t>lors du guichet</w:t>
      </w:r>
      <w:r w:rsidR="7AEBA919">
        <w:t xml:space="preserve"> de la CRE</w:t>
      </w:r>
      <w:r w:rsidR="009B1495">
        <w:t xml:space="preserve"> </w:t>
      </w:r>
      <w:r w:rsidR="000F157C">
        <w:t>ses couvertures et engagements</w:t>
      </w:r>
      <w:r w:rsidR="00DC286A">
        <w:t xml:space="preserve">, respectivement </w:t>
      </w:r>
      <w:r w:rsidR="00636A9E">
        <w:t>au</w:t>
      </w:r>
      <w:r w:rsidR="00BE5BAD">
        <w:t>x dates de référence du</w:t>
      </w:r>
      <w:r w:rsidR="003E37D5">
        <w:t xml:space="preserve"> </w:t>
      </w:r>
      <w:r w:rsidR="00636A9E" w:rsidRPr="00842452">
        <w:t>1</w:t>
      </w:r>
      <w:r w:rsidR="00636A9E" w:rsidRPr="00842452">
        <w:rPr>
          <w:vertAlign w:val="superscript"/>
        </w:rPr>
        <w:t>er</w:t>
      </w:r>
      <w:r w:rsidR="00636A9E" w:rsidRPr="00842452">
        <w:t xml:space="preserve"> octobre N-1</w:t>
      </w:r>
      <w:r w:rsidR="00A43CA8" w:rsidRPr="00842452">
        <w:t xml:space="preserve">, du </w:t>
      </w:r>
      <w:r w:rsidR="00636A9E" w:rsidRPr="00842452">
        <w:t>1</w:t>
      </w:r>
      <w:r w:rsidR="00636A9E" w:rsidRPr="00842452">
        <w:rPr>
          <w:vertAlign w:val="superscript"/>
        </w:rPr>
        <w:t>er</w:t>
      </w:r>
      <w:r w:rsidR="00636A9E" w:rsidRPr="00842452">
        <w:t xml:space="preserve"> janvier N</w:t>
      </w:r>
      <w:r w:rsidR="00F4501B" w:rsidRPr="00842452">
        <w:t xml:space="preserve"> </w:t>
      </w:r>
      <w:r w:rsidR="00A43CA8" w:rsidRPr="00842452">
        <w:t>et du</w:t>
      </w:r>
      <w:r w:rsidR="00F4501B" w:rsidRPr="00842452">
        <w:t xml:space="preserve"> </w:t>
      </w:r>
      <w:r w:rsidR="003E37D5" w:rsidRPr="00842452">
        <w:t>1</w:t>
      </w:r>
      <w:r w:rsidR="003E37D5" w:rsidRPr="00842452">
        <w:rPr>
          <w:vertAlign w:val="superscript"/>
        </w:rPr>
        <w:t>er</w:t>
      </w:r>
      <w:r w:rsidR="003E37D5" w:rsidRPr="00842452">
        <w:t xml:space="preserve"> </w:t>
      </w:r>
      <w:r w:rsidR="00A93FE3" w:rsidRPr="00842452">
        <w:t>avril N</w:t>
      </w:r>
      <w:r w:rsidR="000274FA">
        <w:t xml:space="preserve"> en électricité et aux dates de référence du 1</w:t>
      </w:r>
      <w:r w:rsidR="000274FA" w:rsidRPr="00431DD0">
        <w:rPr>
          <w:vertAlign w:val="superscript"/>
        </w:rPr>
        <w:t>er</w:t>
      </w:r>
      <w:r w:rsidR="000274FA">
        <w:t xml:space="preserve"> juillet N-1, du 1</w:t>
      </w:r>
      <w:r w:rsidR="000274FA" w:rsidRPr="00431DD0">
        <w:rPr>
          <w:vertAlign w:val="superscript"/>
        </w:rPr>
        <w:t>er</w:t>
      </w:r>
      <w:r w:rsidR="000274FA">
        <w:t xml:space="preserve"> octobre N-1 et du 1</w:t>
      </w:r>
      <w:r w:rsidR="000274FA" w:rsidRPr="00431DD0">
        <w:rPr>
          <w:vertAlign w:val="superscript"/>
        </w:rPr>
        <w:t>er</w:t>
      </w:r>
      <w:r w:rsidR="000274FA">
        <w:t xml:space="preserve"> janvier N-1 en gaz</w:t>
      </w:r>
      <w:r w:rsidR="005D421A">
        <w:t xml:space="preserve">. </w:t>
      </w:r>
      <w:r w:rsidR="000F157C">
        <w:t>Ces déclarations concerneront</w:t>
      </w:r>
      <w:r w:rsidR="00DC286A">
        <w:t xml:space="preserve"> les volumes assujettis</w:t>
      </w:r>
      <w:r w:rsidR="00887AE2">
        <w:t xml:space="preserve"> à l’obligation prudentielle selon les données collectées </w:t>
      </w:r>
      <w:r w:rsidR="00012524">
        <w:t xml:space="preserve">et connues </w:t>
      </w:r>
      <w:r w:rsidR="00887AE2">
        <w:t xml:space="preserve">à ces dates </w:t>
      </w:r>
      <w:r w:rsidR="00E03B69">
        <w:t>de référence</w:t>
      </w:r>
      <w:r w:rsidR="00A16CF4">
        <w:rPr>
          <w:rStyle w:val="Appelnotedebasdep"/>
        </w:rPr>
        <w:footnoteReference w:id="7"/>
      </w:r>
      <w:r w:rsidR="00887AE2">
        <w:t>, pour une période de livraison allant de ces dates respectives à la dernière année sur laquelle il s’est engagé.</w:t>
      </w:r>
      <w:r w:rsidR="0005036F">
        <w:t xml:space="preserve"> Ainsi, le contrôle ex-post </w:t>
      </w:r>
      <w:r w:rsidR="00EF3D7B">
        <w:t xml:space="preserve">du critère en couverture </w:t>
      </w:r>
      <w:r w:rsidR="00EA2E30">
        <w:t>correspond</w:t>
      </w:r>
      <w:r w:rsidR="0005036F">
        <w:t xml:space="preserve"> à </w:t>
      </w:r>
      <w:r w:rsidR="00125B9A">
        <w:t xml:space="preserve">un </w:t>
      </w:r>
      <w:r w:rsidR="00F50CE2" w:rsidRPr="00431DD0">
        <w:t>test rétroactif</w:t>
      </w:r>
      <w:r w:rsidR="00F50CE2">
        <w:t xml:space="preserve"> (« </w:t>
      </w:r>
      <w:r w:rsidR="00F50CE2" w:rsidRPr="302B9FF8">
        <w:rPr>
          <w:i/>
          <w:iCs/>
        </w:rPr>
        <w:t>backtest </w:t>
      </w:r>
      <w:r w:rsidR="00F50CE2" w:rsidRPr="00431DD0">
        <w:t>»)</w:t>
      </w:r>
      <w:r w:rsidR="00125B9A">
        <w:t>, lors d</w:t>
      </w:r>
      <w:r w:rsidR="005203FE">
        <w:t xml:space="preserve">u guichet, </w:t>
      </w:r>
      <w:r w:rsidR="00036F00">
        <w:t xml:space="preserve">des critères en couverture aux </w:t>
      </w:r>
      <w:r w:rsidR="00E33455">
        <w:t xml:space="preserve">dates </w:t>
      </w:r>
      <w:r w:rsidR="005203FE">
        <w:t xml:space="preserve">de référence </w:t>
      </w:r>
      <w:r w:rsidR="00E33455">
        <w:t>susmentionnées.</w:t>
      </w:r>
      <w:r w:rsidR="00036F00">
        <w:t xml:space="preserve"> </w:t>
      </w:r>
    </w:p>
    <w:p w14:paraId="0794DF37" w14:textId="5588507D" w:rsidR="00306FC3" w:rsidRPr="00DB5497" w:rsidRDefault="00E032F3">
      <w:pPr>
        <w:pStyle w:val="Paragraphedeliste"/>
        <w:spacing w:before="120"/>
        <w:ind w:left="425"/>
        <w:rPr>
          <w:i/>
          <w:iCs/>
        </w:rPr>
      </w:pPr>
      <w:r>
        <w:rPr>
          <w:i/>
          <w:iCs/>
        </w:rPr>
        <w:t xml:space="preserve">Exemple : </w:t>
      </w:r>
      <w:r w:rsidR="009D75FA" w:rsidRPr="00DB5497">
        <w:rPr>
          <w:i/>
          <w:iCs/>
        </w:rPr>
        <w:t xml:space="preserve">Un fournisseur </w:t>
      </w:r>
      <w:r w:rsidR="000363C9" w:rsidRPr="00DB5497">
        <w:rPr>
          <w:i/>
          <w:iCs/>
        </w:rPr>
        <w:t xml:space="preserve">d’électricité </w:t>
      </w:r>
      <w:r w:rsidR="0059338B" w:rsidRPr="00DB5497">
        <w:rPr>
          <w:i/>
          <w:iCs/>
        </w:rPr>
        <w:t>devrait communiquer à la CRE</w:t>
      </w:r>
      <w:r w:rsidR="009C4F4A" w:rsidRPr="00DB5497">
        <w:rPr>
          <w:i/>
          <w:iCs/>
        </w:rPr>
        <w:t>, avant le 30 septembre 202</w:t>
      </w:r>
      <w:r w:rsidR="00DB5497">
        <w:rPr>
          <w:i/>
          <w:iCs/>
        </w:rPr>
        <w:t>7</w:t>
      </w:r>
      <w:r w:rsidR="00306FC3" w:rsidRPr="00DB5497">
        <w:rPr>
          <w:i/>
          <w:iCs/>
        </w:rPr>
        <w:t> :</w:t>
      </w:r>
    </w:p>
    <w:p w14:paraId="1C3076BB" w14:textId="78A00DC4" w:rsidR="00E032F3" w:rsidRPr="00DB5497" w:rsidRDefault="00DB5497" w:rsidP="00306FC3">
      <w:pPr>
        <w:pStyle w:val="Paragraphedeliste"/>
        <w:numPr>
          <w:ilvl w:val="0"/>
          <w:numId w:val="43"/>
        </w:numPr>
        <w:spacing w:before="120"/>
        <w:rPr>
          <w:i/>
          <w:iCs/>
        </w:rPr>
      </w:pPr>
      <w:r w:rsidRPr="00DB5497">
        <w:rPr>
          <w:i/>
          <w:iCs/>
        </w:rPr>
        <w:t>Ex-</w:t>
      </w:r>
      <w:r w:rsidR="00902369">
        <w:rPr>
          <w:i/>
          <w:iCs/>
        </w:rPr>
        <w:t>ante</w:t>
      </w:r>
      <w:r w:rsidRPr="00DB5497">
        <w:rPr>
          <w:i/>
          <w:iCs/>
        </w:rPr>
        <w:t xml:space="preserve"> : </w:t>
      </w:r>
      <w:r w:rsidR="0090286E">
        <w:rPr>
          <w:i/>
          <w:iCs/>
        </w:rPr>
        <w:t>pour la date du 1</w:t>
      </w:r>
      <w:r w:rsidR="0090286E" w:rsidRPr="00431DD0">
        <w:rPr>
          <w:i/>
          <w:iCs/>
          <w:vertAlign w:val="superscript"/>
        </w:rPr>
        <w:t>er</w:t>
      </w:r>
      <w:r w:rsidR="0090286E">
        <w:rPr>
          <w:i/>
          <w:iCs/>
        </w:rPr>
        <w:t xml:space="preserve"> juillet 2027</w:t>
      </w:r>
      <w:r w:rsidR="0088001B">
        <w:rPr>
          <w:i/>
          <w:iCs/>
        </w:rPr>
        <w:t xml:space="preserve">, </w:t>
      </w:r>
      <w:r w:rsidR="003E40E0" w:rsidRPr="00DB5497">
        <w:rPr>
          <w:i/>
          <w:iCs/>
        </w:rPr>
        <w:t xml:space="preserve">ses données de couverture </w:t>
      </w:r>
      <w:r w:rsidR="00F02845">
        <w:rPr>
          <w:i/>
          <w:iCs/>
        </w:rPr>
        <w:t>telles qu’elles se présentaient à cette date</w:t>
      </w:r>
      <w:r w:rsidR="008060FD" w:rsidRPr="00DB5497">
        <w:rPr>
          <w:i/>
          <w:iCs/>
        </w:rPr>
        <w:t xml:space="preserve">, ainsi que </w:t>
      </w:r>
      <w:r w:rsidR="00A22407" w:rsidRPr="00DB5497">
        <w:rPr>
          <w:i/>
          <w:iCs/>
        </w:rPr>
        <w:t>s</w:t>
      </w:r>
      <w:r w:rsidR="003D481B" w:rsidRPr="00DB5497">
        <w:rPr>
          <w:i/>
          <w:iCs/>
        </w:rPr>
        <w:t>es</w:t>
      </w:r>
      <w:r w:rsidR="00A22407" w:rsidRPr="00DB5497">
        <w:rPr>
          <w:i/>
          <w:iCs/>
        </w:rPr>
        <w:t xml:space="preserve"> prévisions de </w:t>
      </w:r>
      <w:r w:rsidR="006100CC" w:rsidRPr="00DB5497">
        <w:rPr>
          <w:i/>
          <w:iCs/>
        </w:rPr>
        <w:t xml:space="preserve">consommation de </w:t>
      </w:r>
      <w:r w:rsidR="00A22407" w:rsidRPr="00DB5497">
        <w:rPr>
          <w:i/>
          <w:iCs/>
        </w:rPr>
        <w:t xml:space="preserve">portefeuille </w:t>
      </w:r>
      <w:r w:rsidR="001739FB" w:rsidRPr="00DB5497">
        <w:rPr>
          <w:i/>
          <w:iCs/>
        </w:rPr>
        <w:t xml:space="preserve">pour les contrats </w:t>
      </w:r>
      <w:r w:rsidR="006D0388" w:rsidRPr="00DB5497">
        <w:rPr>
          <w:i/>
          <w:iCs/>
        </w:rPr>
        <w:t xml:space="preserve">constituant un engagement </w:t>
      </w:r>
      <w:r w:rsidR="00536094" w:rsidRPr="00DB5497">
        <w:rPr>
          <w:i/>
          <w:iCs/>
        </w:rPr>
        <w:t xml:space="preserve">(cf. </w:t>
      </w:r>
      <w:r w:rsidR="002552E9" w:rsidRPr="00DB5497">
        <w:rPr>
          <w:i/>
          <w:iCs/>
        </w:rPr>
        <w:t xml:space="preserve">section </w:t>
      </w:r>
      <w:r w:rsidR="002552E9" w:rsidRPr="00842452">
        <w:rPr>
          <w:i/>
          <w:iCs/>
        </w:rPr>
        <w:t>2.2.2</w:t>
      </w:r>
      <w:r w:rsidR="002552E9" w:rsidRPr="00F155CA">
        <w:rPr>
          <w:i/>
          <w:iCs/>
        </w:rPr>
        <w:t>)</w:t>
      </w:r>
      <w:r w:rsidR="001739FB" w:rsidRPr="00DB5497">
        <w:rPr>
          <w:i/>
          <w:iCs/>
        </w:rPr>
        <w:t xml:space="preserve"> </w:t>
      </w:r>
      <w:r w:rsidR="003D481B" w:rsidRPr="00DB5497">
        <w:rPr>
          <w:i/>
          <w:iCs/>
        </w:rPr>
        <w:t xml:space="preserve">selon les meilleures hypothèses connues à </w:t>
      </w:r>
      <w:r w:rsidR="00A57355">
        <w:rPr>
          <w:i/>
          <w:iCs/>
        </w:rPr>
        <w:t>cette date.</w:t>
      </w:r>
    </w:p>
    <w:p w14:paraId="60420E89" w14:textId="47CF8B04" w:rsidR="002552E9" w:rsidRPr="00431DD0" w:rsidRDefault="00DB5497" w:rsidP="00431DD0">
      <w:pPr>
        <w:pStyle w:val="Paragraphedeliste"/>
        <w:numPr>
          <w:ilvl w:val="0"/>
          <w:numId w:val="43"/>
        </w:numPr>
        <w:spacing w:before="120"/>
        <w:rPr>
          <w:i/>
          <w:iCs/>
        </w:rPr>
      </w:pPr>
      <w:r>
        <w:rPr>
          <w:i/>
          <w:iCs/>
        </w:rPr>
        <w:t>Ex-</w:t>
      </w:r>
      <w:r w:rsidR="00902369">
        <w:rPr>
          <w:i/>
          <w:iCs/>
        </w:rPr>
        <w:t>post</w:t>
      </w:r>
      <w:r>
        <w:rPr>
          <w:i/>
          <w:iCs/>
        </w:rPr>
        <w:t xml:space="preserve"> : </w:t>
      </w:r>
      <w:r w:rsidR="00406E35">
        <w:rPr>
          <w:i/>
          <w:iCs/>
        </w:rPr>
        <w:t>pour chacune des dates suivantes</w:t>
      </w:r>
      <w:r w:rsidR="00C3312B">
        <w:rPr>
          <w:i/>
          <w:iCs/>
        </w:rPr>
        <w:t> :  </w:t>
      </w:r>
      <w:r w:rsidR="00FE1C08">
        <w:rPr>
          <w:i/>
          <w:iCs/>
        </w:rPr>
        <w:t>1</w:t>
      </w:r>
      <w:r w:rsidR="00FE1C08" w:rsidRPr="00596460">
        <w:rPr>
          <w:i/>
          <w:iCs/>
          <w:vertAlign w:val="superscript"/>
        </w:rPr>
        <w:t>er</w:t>
      </w:r>
      <w:r w:rsidR="00FE1C08">
        <w:rPr>
          <w:i/>
          <w:iCs/>
        </w:rPr>
        <w:t xml:space="preserve"> octobre 2026, 1</w:t>
      </w:r>
      <w:r w:rsidR="00FE1C08" w:rsidRPr="00842452">
        <w:rPr>
          <w:i/>
          <w:iCs/>
          <w:vertAlign w:val="superscript"/>
        </w:rPr>
        <w:t>er</w:t>
      </w:r>
      <w:r w:rsidR="00FE1C08">
        <w:rPr>
          <w:i/>
          <w:iCs/>
        </w:rPr>
        <w:t xml:space="preserve"> janvier 2027 et </w:t>
      </w:r>
      <w:r w:rsidR="00C3312B" w:rsidRPr="00DB5497">
        <w:rPr>
          <w:i/>
          <w:iCs/>
        </w:rPr>
        <w:t>1</w:t>
      </w:r>
      <w:r w:rsidR="00C3312B" w:rsidRPr="00596460">
        <w:rPr>
          <w:i/>
          <w:iCs/>
          <w:vertAlign w:val="superscript"/>
        </w:rPr>
        <w:t>er</w:t>
      </w:r>
      <w:r w:rsidR="00C3312B" w:rsidRPr="00DB5497">
        <w:rPr>
          <w:i/>
          <w:iCs/>
        </w:rPr>
        <w:t xml:space="preserve"> avril 202</w:t>
      </w:r>
      <w:r w:rsidR="00C3312B">
        <w:rPr>
          <w:i/>
          <w:iCs/>
        </w:rPr>
        <w:t>7</w:t>
      </w:r>
      <w:r>
        <w:rPr>
          <w:i/>
          <w:iCs/>
        </w:rPr>
        <w:t xml:space="preserve"> </w:t>
      </w:r>
      <w:r w:rsidR="002552E9" w:rsidRPr="00DB5497">
        <w:rPr>
          <w:i/>
          <w:iCs/>
        </w:rPr>
        <w:t xml:space="preserve">ses données de couverture </w:t>
      </w:r>
      <w:r w:rsidR="00C107FF">
        <w:rPr>
          <w:i/>
          <w:iCs/>
        </w:rPr>
        <w:t>telles qu’elles se présentaient à ces</w:t>
      </w:r>
      <w:r w:rsidR="00A87882">
        <w:rPr>
          <w:i/>
          <w:iCs/>
        </w:rPr>
        <w:t xml:space="preserve"> date</w:t>
      </w:r>
      <w:r w:rsidR="00F01EEF">
        <w:rPr>
          <w:i/>
          <w:iCs/>
        </w:rPr>
        <w:t>s</w:t>
      </w:r>
      <w:r>
        <w:rPr>
          <w:i/>
          <w:iCs/>
        </w:rPr>
        <w:t xml:space="preserve">, ainsi que ses prévisions de consommation de portefeuille pour les contrats constituant un engagement (cf. section </w:t>
      </w:r>
      <w:r w:rsidRPr="00842452">
        <w:rPr>
          <w:i/>
          <w:iCs/>
        </w:rPr>
        <w:t>2.2.2</w:t>
      </w:r>
      <w:r w:rsidRPr="00F155CA">
        <w:rPr>
          <w:i/>
          <w:iCs/>
        </w:rPr>
        <w:t>) selon</w:t>
      </w:r>
      <w:r>
        <w:rPr>
          <w:i/>
          <w:iCs/>
        </w:rPr>
        <w:t xml:space="preserve"> les meilleures hypothèses connues </w:t>
      </w:r>
      <w:r w:rsidR="00C107FF">
        <w:rPr>
          <w:i/>
          <w:iCs/>
        </w:rPr>
        <w:t>à ces</w:t>
      </w:r>
      <w:r>
        <w:rPr>
          <w:i/>
          <w:iCs/>
        </w:rPr>
        <w:t xml:space="preserve"> date</w:t>
      </w:r>
      <w:r w:rsidR="00F01EEF">
        <w:rPr>
          <w:i/>
          <w:iCs/>
        </w:rPr>
        <w:t>s</w:t>
      </w:r>
      <w:r w:rsidR="00C107FF">
        <w:rPr>
          <w:i/>
          <w:iCs/>
        </w:rPr>
        <w:t>.</w:t>
      </w:r>
    </w:p>
    <w:p w14:paraId="7CECEB2A" w14:textId="77777777" w:rsidR="00AB2740" w:rsidRDefault="00AB2740" w:rsidP="00DA308B"/>
    <w:p w14:paraId="2105D6CA" w14:textId="0014E2B6" w:rsidR="00AB2740" w:rsidRPr="00684B3C" w:rsidRDefault="00AB2740" w:rsidP="00DA308B">
      <w:pPr>
        <w:rPr>
          <w:u w:val="single"/>
        </w:rPr>
      </w:pPr>
      <w:r w:rsidRPr="00684B3C">
        <w:rPr>
          <w:u w:val="single"/>
        </w:rPr>
        <w:t xml:space="preserve">Schéma </w:t>
      </w:r>
      <w:r w:rsidR="00922224" w:rsidRPr="00684B3C">
        <w:rPr>
          <w:u w:val="single"/>
        </w:rPr>
        <w:t xml:space="preserve">détaillant les différentes temporalités </w:t>
      </w:r>
      <w:r w:rsidR="005F59FF" w:rsidRPr="00684B3C">
        <w:rPr>
          <w:u w:val="single"/>
        </w:rPr>
        <w:t>d</w:t>
      </w:r>
      <w:r w:rsidR="00047E97">
        <w:rPr>
          <w:u w:val="single"/>
        </w:rPr>
        <w:t>e la phase ultérieure d</w:t>
      </w:r>
      <w:r w:rsidR="005F59FF" w:rsidRPr="00684B3C">
        <w:rPr>
          <w:u w:val="single"/>
        </w:rPr>
        <w:t xml:space="preserve">u </w:t>
      </w:r>
      <w:r w:rsidR="00047E97">
        <w:rPr>
          <w:u w:val="single"/>
        </w:rPr>
        <w:t>dispositif</w:t>
      </w:r>
      <w:r w:rsidR="00047E97" w:rsidRPr="00684B3C">
        <w:rPr>
          <w:u w:val="single"/>
        </w:rPr>
        <w:t xml:space="preserve"> </w:t>
      </w:r>
      <w:r w:rsidR="005F59FF" w:rsidRPr="00684B3C">
        <w:rPr>
          <w:u w:val="single"/>
        </w:rPr>
        <w:t xml:space="preserve">transitoire </w:t>
      </w:r>
      <w:r w:rsidR="006B0E64" w:rsidRPr="00684B3C">
        <w:rPr>
          <w:u w:val="single"/>
        </w:rPr>
        <w:t>de la régulation prudentielle</w:t>
      </w:r>
      <w:r w:rsidR="002E0205" w:rsidRPr="00684B3C">
        <w:rPr>
          <w:u w:val="single"/>
        </w:rPr>
        <w:t xml:space="preserve"> </w:t>
      </w:r>
    </w:p>
    <w:p w14:paraId="3D992DBC" w14:textId="3C4A13D1" w:rsidR="00DC541A" w:rsidRDefault="00557F43" w:rsidP="00DC541A">
      <w:pPr>
        <w:jc w:val="center"/>
      </w:pPr>
      <w:r w:rsidRPr="00557F43">
        <w:rPr>
          <w:noProof/>
        </w:rPr>
        <w:drawing>
          <wp:inline distT="0" distB="0" distL="0" distR="0" wp14:anchorId="427D2359" wp14:editId="000EBBE8">
            <wp:extent cx="5732585" cy="3503930"/>
            <wp:effectExtent l="0" t="0" r="1905" b="1270"/>
            <wp:docPr id="750246423" name="Image 750246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246423" name="Image 1"/>
                    <pic:cNvPicPr/>
                  </pic:nvPicPr>
                  <pic:blipFill>
                    <a:blip r:embed="rId13">
                      <a:extLst>
                        <a:ext uri="{28A0092B-C50C-407E-A947-70E740481C1C}">
                          <a14:useLocalDpi xmlns:a14="http://schemas.microsoft.com/office/drawing/2010/main" val="0"/>
                        </a:ext>
                      </a:extLst>
                    </a:blip>
                    <a:srcRect l="241" r="241"/>
                    <a:stretch>
                      <a:fillRect/>
                    </a:stretch>
                  </pic:blipFill>
                  <pic:spPr bwMode="auto">
                    <a:xfrm>
                      <a:off x="0" y="0"/>
                      <a:ext cx="5732585" cy="3503930"/>
                    </a:xfrm>
                    <a:prstGeom prst="rect">
                      <a:avLst/>
                    </a:prstGeom>
                    <a:ln>
                      <a:noFill/>
                    </a:ln>
                    <a:extLst>
                      <a:ext uri="{53640926-AAD7-44D8-BBD7-CCE9431645EC}">
                        <a14:shadowObscured xmlns:a14="http://schemas.microsoft.com/office/drawing/2010/main"/>
                      </a:ext>
                    </a:extLst>
                  </pic:spPr>
                </pic:pic>
              </a:graphicData>
            </a:graphic>
          </wp:inline>
        </w:drawing>
      </w:r>
    </w:p>
    <w:p w14:paraId="22084623" w14:textId="77777777" w:rsidR="00DC541A" w:rsidRDefault="00DC541A" w:rsidP="00684B3C">
      <w:pPr>
        <w:jc w:val="center"/>
      </w:pPr>
    </w:p>
    <w:p w14:paraId="06B03B95" w14:textId="5DF72641" w:rsidR="00295546" w:rsidRDefault="00407D1D" w:rsidP="00DA308B">
      <w:r>
        <w:t>Les</w:t>
      </w:r>
      <w:r w:rsidR="00BB3C6D">
        <w:t xml:space="preserve"> sections </w:t>
      </w:r>
      <w:r w:rsidR="00FE7592">
        <w:t xml:space="preserve">concernant les </w:t>
      </w:r>
      <w:r w:rsidR="00C47FB5">
        <w:t xml:space="preserve">données relatives à la régulation prudentielle sont </w:t>
      </w:r>
      <w:r w:rsidR="00FE7592">
        <w:t>disponibles</w:t>
      </w:r>
      <w:r w:rsidR="00FC4AEF">
        <w:t> :</w:t>
      </w:r>
    </w:p>
    <w:p w14:paraId="5C879DF3" w14:textId="48ECA9EC" w:rsidR="00BA0129" w:rsidRPr="00842452" w:rsidRDefault="00FE7592" w:rsidP="00E96CDE">
      <w:pPr>
        <w:pStyle w:val="Paragraphedeliste"/>
        <w:numPr>
          <w:ilvl w:val="0"/>
          <w:numId w:val="92"/>
        </w:numPr>
        <w:spacing w:before="80" w:after="80"/>
        <w:ind w:left="1066" w:hanging="357"/>
        <w:contextualSpacing w:val="0"/>
      </w:pPr>
      <w:proofErr w:type="gramStart"/>
      <w:r w:rsidRPr="00842452">
        <w:t>en</w:t>
      </w:r>
      <w:proofErr w:type="gramEnd"/>
      <w:r w:rsidRPr="00842452">
        <w:t xml:space="preserve"> Annexe</w:t>
      </w:r>
      <w:r w:rsidR="00F409B2" w:rsidRPr="00842452">
        <w:t xml:space="preserve"> </w:t>
      </w:r>
      <w:r w:rsidR="0040528C" w:rsidRPr="00842452">
        <w:t>2</w:t>
      </w:r>
      <w:r w:rsidR="00BE0C17" w:rsidRPr="00842452">
        <w:t xml:space="preserve">a </w:t>
      </w:r>
      <w:r w:rsidR="00C17B64" w:rsidRPr="00842452">
        <w:t>en électricité (resp. 2b en gaz)</w:t>
      </w:r>
      <w:r w:rsidR="00EC7046" w:rsidRPr="00842452">
        <w:t xml:space="preserve"> pour le</w:t>
      </w:r>
      <w:r w:rsidR="00F51649" w:rsidRPr="00842452">
        <w:t xml:space="preserve"> </w:t>
      </w:r>
      <w:r w:rsidR="00470862" w:rsidRPr="00842452">
        <w:t>formulaire</w:t>
      </w:r>
      <w:r w:rsidR="00F51649" w:rsidRPr="00842452">
        <w:t xml:space="preserve"> </w:t>
      </w:r>
      <w:r w:rsidR="003B318A" w:rsidRPr="00842452">
        <w:t xml:space="preserve">de </w:t>
      </w:r>
      <w:r w:rsidR="00426747" w:rsidRPr="00842452">
        <w:t xml:space="preserve">collecte des données </w:t>
      </w:r>
      <w:r w:rsidR="00470862" w:rsidRPr="00842452">
        <w:t>à remplir</w:t>
      </w:r>
      <w:r w:rsidR="00F51649" w:rsidRPr="00842452">
        <w:t xml:space="preserve"> </w:t>
      </w:r>
      <w:r w:rsidR="00BA0129" w:rsidRPr="00842452">
        <w:t xml:space="preserve">concernant les principes 1 </w:t>
      </w:r>
      <w:r w:rsidR="00F51649" w:rsidRPr="00842452">
        <w:t xml:space="preserve">et </w:t>
      </w:r>
      <w:r w:rsidR="00BA0129" w:rsidRPr="00842452">
        <w:t>3</w:t>
      </w:r>
      <w:r w:rsidR="0065191F" w:rsidRPr="00842452">
        <w:t> ;</w:t>
      </w:r>
    </w:p>
    <w:p w14:paraId="2A7C1991" w14:textId="34C28DB5" w:rsidR="00BA0129" w:rsidRPr="00842452" w:rsidRDefault="00BA0129" w:rsidP="00E96CDE">
      <w:pPr>
        <w:pStyle w:val="Paragraphedeliste"/>
        <w:numPr>
          <w:ilvl w:val="0"/>
          <w:numId w:val="92"/>
        </w:numPr>
        <w:spacing w:before="80" w:after="80"/>
        <w:ind w:left="1066" w:hanging="357"/>
        <w:contextualSpacing w:val="0"/>
      </w:pPr>
      <w:proofErr w:type="gramStart"/>
      <w:r w:rsidRPr="00842452">
        <w:t>en</w:t>
      </w:r>
      <w:proofErr w:type="gramEnd"/>
      <w:r w:rsidRPr="00842452">
        <w:t xml:space="preserve"> Annexe 3a en électricité (resp. 3b en gaz) pour le formulaire de collecte des données à remplir concernant les principes 2</w:t>
      </w:r>
      <w:r w:rsidR="00E96CDE" w:rsidRPr="00842452">
        <w:t xml:space="preserve"> le cas échéant et</w:t>
      </w:r>
      <w:r w:rsidR="006E5D02" w:rsidRPr="00842452">
        <w:t> ;</w:t>
      </w:r>
      <w:r w:rsidR="00E96CDE" w:rsidRPr="00842452">
        <w:t xml:space="preserve"> </w:t>
      </w:r>
    </w:p>
    <w:p w14:paraId="490D6C46" w14:textId="1CD62009" w:rsidR="00DA308B" w:rsidRPr="00842452" w:rsidRDefault="00F51649" w:rsidP="00E96CDE">
      <w:pPr>
        <w:pStyle w:val="Paragraphedeliste"/>
        <w:numPr>
          <w:ilvl w:val="0"/>
          <w:numId w:val="92"/>
        </w:numPr>
        <w:spacing w:before="80" w:after="80"/>
        <w:ind w:left="1066" w:hanging="357"/>
        <w:contextualSpacing w:val="0"/>
      </w:pPr>
      <w:proofErr w:type="gramStart"/>
      <w:r w:rsidRPr="00842452">
        <w:t>en</w:t>
      </w:r>
      <w:proofErr w:type="gramEnd"/>
      <w:r w:rsidRPr="00842452">
        <w:t xml:space="preserve"> Annexe </w:t>
      </w:r>
      <w:r w:rsidR="0040528C" w:rsidRPr="00842452">
        <w:t>1</w:t>
      </w:r>
      <w:r w:rsidRPr="00842452">
        <w:t xml:space="preserve"> </w:t>
      </w:r>
      <w:r w:rsidR="008405D6" w:rsidRPr="00842452">
        <w:t>pour les documents complémentaires</w:t>
      </w:r>
      <w:r w:rsidR="00FE7592" w:rsidRPr="00842452">
        <w:t xml:space="preserve">. </w:t>
      </w:r>
    </w:p>
    <w:p w14:paraId="6B2629F9" w14:textId="77777777" w:rsidR="00DA308B" w:rsidRPr="00DA308B" w:rsidRDefault="00DA308B" w:rsidP="00842452"/>
    <w:p w14:paraId="213E73D2" w14:textId="1CD95BB3" w:rsidR="00EF50DC" w:rsidRPr="00842452" w:rsidRDefault="00EF50DC" w:rsidP="008B4A2B">
      <w:pPr>
        <w:pStyle w:val="Titre3"/>
        <w:rPr>
          <w:lang w:val="fr-FR"/>
        </w:rPr>
      </w:pPr>
      <w:bookmarkStart w:id="28" w:name="_Toc232094741"/>
      <w:r w:rsidRPr="00842452">
        <w:rPr>
          <w:lang w:val="fr-FR"/>
        </w:rPr>
        <w:t>Périodes d’évaluation d</w:t>
      </w:r>
      <w:r w:rsidR="00A9063C" w:rsidRPr="00842452">
        <w:rPr>
          <w:lang w:val="fr-FR"/>
        </w:rPr>
        <w:t xml:space="preserve">u critère en </w:t>
      </w:r>
      <w:r w:rsidRPr="00842452">
        <w:rPr>
          <w:lang w:val="fr-FR"/>
        </w:rPr>
        <w:t>couverture</w:t>
      </w:r>
      <w:bookmarkEnd w:id="28"/>
    </w:p>
    <w:p w14:paraId="396FDF5B" w14:textId="0E05B299" w:rsidR="009801C9" w:rsidRDefault="0051789A" w:rsidP="0017265A">
      <w:pPr>
        <w:pStyle w:val="Corpsdetexte"/>
      </w:pPr>
      <w:r>
        <w:t xml:space="preserve">La CRE </w:t>
      </w:r>
      <w:r w:rsidR="000834CB">
        <w:t>préconise</w:t>
      </w:r>
      <w:r w:rsidR="00417643">
        <w:t xml:space="preserve"> que le critère en couverture</w:t>
      </w:r>
      <w:r w:rsidR="004A4B7B">
        <w:t xml:space="preserve"> </w:t>
      </w:r>
      <w:r w:rsidR="00417643">
        <w:t>couvre</w:t>
      </w:r>
      <w:r w:rsidR="004A4B7B">
        <w:t xml:space="preserve"> l’intégralité de l’horizon temporel des engagements contractuels du fournisseur</w:t>
      </w:r>
      <w:r w:rsidR="00B93726">
        <w:t> </w:t>
      </w:r>
      <w:r w:rsidR="00104BA5">
        <w:t>: elle considère que la limitation de l’horizon temporel des contrôles compromettrait le principe de couverture systématique des engagements qui sous-tend le critère en couverture</w:t>
      </w:r>
      <w:r w:rsidR="004A4B7B">
        <w:t xml:space="preserve">. </w:t>
      </w:r>
      <w:r w:rsidR="008F1D22">
        <w:t xml:space="preserve">Elle juge par ailleurs limité le </w:t>
      </w:r>
      <w:r w:rsidR="00DE5ED7">
        <w:t xml:space="preserve">risque d’achat à tout prix </w:t>
      </w:r>
      <w:r w:rsidR="00DC71AD">
        <w:t>associé</w:t>
      </w:r>
      <w:r w:rsidR="00955458">
        <w:t xml:space="preserve"> au pas de temps trimestriel de l’année N</w:t>
      </w:r>
      <w:r w:rsidR="009801C9">
        <w:t xml:space="preserve">, et estime que ce pas de temps </w:t>
      </w:r>
      <w:r w:rsidR="00820B19">
        <w:t xml:space="preserve">concorde </w:t>
      </w:r>
      <w:r w:rsidR="000834CB">
        <w:t xml:space="preserve">avec </w:t>
      </w:r>
      <w:r w:rsidR="0043524B">
        <w:t>la temporalité du raffinement des couvertures des fournisseurs</w:t>
      </w:r>
      <w:r w:rsidR="00955458">
        <w:t xml:space="preserve">. </w:t>
      </w:r>
    </w:p>
    <w:p w14:paraId="08CE0025" w14:textId="15A9B603" w:rsidR="00C95302" w:rsidRDefault="003D5730" w:rsidP="0017265A">
      <w:pPr>
        <w:pStyle w:val="Corpsdetexte"/>
      </w:pPr>
      <w:r>
        <w:t>Pour</w:t>
      </w:r>
      <w:r w:rsidR="007516FD">
        <w:t xml:space="preserve"> </w:t>
      </w:r>
      <w:r w:rsidR="003A5D66">
        <w:t>rendre admissible</w:t>
      </w:r>
      <w:r w:rsidR="007516FD">
        <w:t xml:space="preserve"> l’application de </w:t>
      </w:r>
      <w:r w:rsidR="00AF1E50">
        <w:t>stratégies de « proxy hedging » temporel</w:t>
      </w:r>
      <w:r w:rsidR="003A5D66">
        <w:t xml:space="preserve"> par les fournisseurs</w:t>
      </w:r>
      <w:r w:rsidR="00AF1E50">
        <w:t xml:space="preserve">, </w:t>
      </w:r>
      <w:r w:rsidR="00DE3306">
        <w:t>elle</w:t>
      </w:r>
      <w:r w:rsidR="00AF1E50">
        <w:t xml:space="preserve"> </w:t>
      </w:r>
      <w:r w:rsidR="001D4672">
        <w:t xml:space="preserve">précise que le critère en couverture sera cumulé </w:t>
      </w:r>
      <w:r w:rsidR="003A5D66">
        <w:t>sur l’ense</w:t>
      </w:r>
      <w:r w:rsidR="008C6D93">
        <w:t>mble des périodes de livraison</w:t>
      </w:r>
      <w:r w:rsidR="00566B3C">
        <w:t xml:space="preserve">. Elle </w:t>
      </w:r>
      <w:r w:rsidR="003A0220">
        <w:t xml:space="preserve">demandera </w:t>
      </w:r>
      <w:r w:rsidR="008C6D93">
        <w:t>cependant</w:t>
      </w:r>
      <w:r w:rsidR="00566B3C">
        <w:t xml:space="preserve"> </w:t>
      </w:r>
      <w:r w:rsidR="003A0220">
        <w:t xml:space="preserve">aux </w:t>
      </w:r>
      <w:r w:rsidR="006C3B56">
        <w:t>fournisseurs</w:t>
      </w:r>
      <w:r w:rsidR="0003225B">
        <w:t xml:space="preserve">, à des fins de surveillance et pour alimenter les </w:t>
      </w:r>
      <w:r w:rsidR="00175803">
        <w:t>analyses plus poussées menées en seconde instance (principe 2)</w:t>
      </w:r>
      <w:r w:rsidR="00B93726">
        <w:t>,</w:t>
      </w:r>
      <w:r w:rsidR="006C3B56">
        <w:t xml:space="preserve"> </w:t>
      </w:r>
      <w:r w:rsidR="003A0220">
        <w:t>de</w:t>
      </w:r>
      <w:r w:rsidR="006C3B56">
        <w:t xml:space="preserve"> communiqu</w:t>
      </w:r>
      <w:r w:rsidR="003A0220">
        <w:t>er</w:t>
      </w:r>
      <w:r w:rsidR="006C3B56">
        <w:t xml:space="preserve"> des </w:t>
      </w:r>
      <w:r w:rsidR="00566B3C">
        <w:t>données</w:t>
      </w:r>
      <w:r w:rsidR="006C3B56">
        <w:t xml:space="preserve"> : </w:t>
      </w:r>
    </w:p>
    <w:p w14:paraId="137F9EAD" w14:textId="0B4BC9AD" w:rsidR="002E3357" w:rsidRDefault="6005DCC7" w:rsidP="002E3357">
      <w:pPr>
        <w:pStyle w:val="Corpsdetexte"/>
        <w:numPr>
          <w:ilvl w:val="0"/>
          <w:numId w:val="103"/>
        </w:numPr>
        <w:rPr>
          <w:color w:val="161616" w:themeColor="text1"/>
        </w:rPr>
      </w:pPr>
      <w:proofErr w:type="gramStart"/>
      <w:r w:rsidRPr="7080FB27">
        <w:rPr>
          <w:color w:val="161616" w:themeColor="text1"/>
        </w:rPr>
        <w:t>à</w:t>
      </w:r>
      <w:proofErr w:type="gramEnd"/>
      <w:r w:rsidR="00C95302" w:rsidRPr="00A30EB4">
        <w:rPr>
          <w:color w:val="161616" w:themeColor="text1"/>
        </w:rPr>
        <w:t xml:space="preserve"> la maille </w:t>
      </w:r>
      <w:r w:rsidR="00C95302">
        <w:rPr>
          <w:color w:val="161616" w:themeColor="text1"/>
        </w:rPr>
        <w:t xml:space="preserve">trimestrielle pour l’année contenant la date de référence (année N du guichet pour le contrôle </w:t>
      </w:r>
      <w:r w:rsidR="00C95302" w:rsidRPr="00431DD0">
        <w:rPr>
          <w:i/>
          <w:color w:val="161616" w:themeColor="text1"/>
        </w:rPr>
        <w:t>ex-ante</w:t>
      </w:r>
      <w:r w:rsidR="00D12148">
        <w:rPr>
          <w:color w:val="161616" w:themeColor="text1"/>
        </w:rPr>
        <w:t xml:space="preserve">, année N ou N-1 pour </w:t>
      </w:r>
      <w:r w:rsidR="0003225B">
        <w:rPr>
          <w:color w:val="161616" w:themeColor="text1"/>
        </w:rPr>
        <w:t xml:space="preserve">le contrôle </w:t>
      </w:r>
      <w:r w:rsidR="0003225B" w:rsidRPr="00431DD0">
        <w:rPr>
          <w:i/>
          <w:iCs/>
          <w:color w:val="161616" w:themeColor="text1"/>
        </w:rPr>
        <w:t>ex-post</w:t>
      </w:r>
      <w:r w:rsidR="00C95302">
        <w:rPr>
          <w:color w:val="161616" w:themeColor="text1"/>
        </w:rPr>
        <w:t>)</w:t>
      </w:r>
      <w:r w:rsidR="671BE722" w:rsidRPr="7080FB27">
        <w:rPr>
          <w:color w:val="161616" w:themeColor="text1"/>
        </w:rPr>
        <w:t xml:space="preserve"> ;</w:t>
      </w:r>
    </w:p>
    <w:p w14:paraId="7783639D" w14:textId="7D45AD21" w:rsidR="00C95302" w:rsidRPr="00431DD0" w:rsidRDefault="2E140F4D" w:rsidP="00431DD0">
      <w:pPr>
        <w:pStyle w:val="Corpsdetexte"/>
        <w:numPr>
          <w:ilvl w:val="0"/>
          <w:numId w:val="103"/>
        </w:numPr>
        <w:rPr>
          <w:color w:val="161616" w:themeColor="text1"/>
        </w:rPr>
      </w:pPr>
      <w:proofErr w:type="gramStart"/>
      <w:r>
        <w:t>à</w:t>
      </w:r>
      <w:proofErr w:type="gramEnd"/>
      <w:r w:rsidR="00C95302" w:rsidRPr="00AC6757">
        <w:t xml:space="preserve"> la maille annuelle pour les années </w:t>
      </w:r>
      <w:r w:rsidR="00C95302">
        <w:t>suivantes.</w:t>
      </w:r>
    </w:p>
    <w:p w14:paraId="01150FEB" w14:textId="449E5D92" w:rsidR="00AB16CB" w:rsidRPr="00E85598" w:rsidRDefault="00104BA5" w:rsidP="0017265A">
      <w:pPr>
        <w:pStyle w:val="Corpsdetexte"/>
      </w:pPr>
      <w:r>
        <w:t>Cette maille de surveillance permet de tenir compte des contraintes de liquidité</w:t>
      </w:r>
      <w:r w:rsidR="00C46E02">
        <w:t xml:space="preserve">, tout en gardant un regard </w:t>
      </w:r>
      <w:r w:rsidR="00F1393B">
        <w:t>à échelle saisonnière sur la couverture des engagements</w:t>
      </w:r>
      <w:r w:rsidR="0051789A" w:rsidRPr="0051789A">
        <w:t xml:space="preserve"> </w:t>
      </w:r>
      <w:r w:rsidR="00C46E02">
        <w:t>dans les périodes de livraison proches.</w:t>
      </w:r>
      <w:r w:rsidR="009E75F7">
        <w:t xml:space="preserve"> </w:t>
      </w:r>
      <w:r w:rsidR="00AB16CB">
        <w:t>Le tableau ci-dessous récapitule l</w:t>
      </w:r>
      <w:r w:rsidR="00E85598">
        <w:t xml:space="preserve">’agencement temporel des contrôles </w:t>
      </w:r>
      <w:r w:rsidR="00E85598">
        <w:rPr>
          <w:i/>
          <w:iCs/>
        </w:rPr>
        <w:t>ex-ante</w:t>
      </w:r>
      <w:r w:rsidR="00E85598">
        <w:t xml:space="preserve"> et </w:t>
      </w:r>
      <w:r w:rsidR="00E85598">
        <w:rPr>
          <w:i/>
          <w:iCs/>
        </w:rPr>
        <w:t>ex-post</w:t>
      </w:r>
      <w:r w:rsidR="00385B8D">
        <w:rPr>
          <w:i/>
          <w:iCs/>
        </w:rPr>
        <w:t xml:space="preserve"> </w:t>
      </w:r>
      <w:r w:rsidR="00385B8D">
        <w:t xml:space="preserve">en </w:t>
      </w:r>
      <w:r w:rsidR="00047E97">
        <w:t xml:space="preserve">phase ultérieure du </w:t>
      </w:r>
      <w:r w:rsidR="00385B8D">
        <w:t>régime transitoire</w:t>
      </w:r>
      <w:r w:rsidR="00556CCA">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28" w:type="dxa"/>
        </w:tblCellMar>
        <w:tblLook w:val="0420" w:firstRow="1" w:lastRow="0" w:firstColumn="0" w:lastColumn="0" w:noHBand="0" w:noVBand="1"/>
      </w:tblPr>
      <w:tblGrid>
        <w:gridCol w:w="2552"/>
        <w:gridCol w:w="2977"/>
        <w:gridCol w:w="3543"/>
      </w:tblGrid>
      <w:tr w:rsidR="00F636BA" w:rsidRPr="00A56DE9" w14:paraId="043FEF95" w14:textId="004A0C95" w:rsidTr="00842452">
        <w:trPr>
          <w:trHeight w:val="459"/>
        </w:trPr>
        <w:tc>
          <w:tcPr>
            <w:tcW w:w="2552" w:type="dxa"/>
            <w:tcBorders>
              <w:top w:val="nil"/>
              <w:left w:val="nil"/>
              <w:bottom w:val="single" w:sz="4" w:space="0" w:color="auto"/>
              <w:right w:val="single" w:sz="4" w:space="0" w:color="auto"/>
            </w:tcBorders>
            <w:tcMar>
              <w:top w:w="72" w:type="dxa"/>
              <w:left w:w="144" w:type="dxa"/>
              <w:bottom w:w="72" w:type="dxa"/>
              <w:right w:w="144" w:type="dxa"/>
            </w:tcMar>
            <w:hideMark/>
          </w:tcPr>
          <w:p w14:paraId="5ECDA045" w14:textId="77777777" w:rsidR="00F636BA" w:rsidRPr="00A56DE9" w:rsidRDefault="00F636BA">
            <w:pPr>
              <w:pStyle w:val="Corpsdetexte"/>
              <w:spacing w:before="120"/>
            </w:pPr>
          </w:p>
        </w:tc>
        <w:tc>
          <w:tcPr>
            <w:tcW w:w="2977" w:type="dxa"/>
            <w:tcBorders>
              <w:left w:val="single" w:sz="4" w:space="0" w:color="auto"/>
            </w:tcBorders>
            <w:shd w:val="clear" w:color="auto" w:fill="285F83" w:themeFill="text2"/>
            <w:tcMar>
              <w:top w:w="72" w:type="dxa"/>
              <w:left w:w="144" w:type="dxa"/>
              <w:bottom w:w="72" w:type="dxa"/>
              <w:right w:w="144" w:type="dxa"/>
            </w:tcMar>
            <w:hideMark/>
          </w:tcPr>
          <w:p w14:paraId="383C8189" w14:textId="192EC336" w:rsidR="00F636BA" w:rsidRPr="004C1EBD" w:rsidRDefault="00F636BA">
            <w:pPr>
              <w:pStyle w:val="Corpsdetexte"/>
              <w:spacing w:before="120"/>
              <w:jc w:val="center"/>
              <w:rPr>
                <w:b/>
                <w:bCs/>
                <w:color w:val="FFFFFF" w:themeColor="background1"/>
              </w:rPr>
            </w:pPr>
            <w:r>
              <w:rPr>
                <w:b/>
                <w:bCs/>
                <w:color w:val="FFFFFF" w:themeColor="background1"/>
              </w:rPr>
              <w:t xml:space="preserve">Contrôle </w:t>
            </w:r>
            <w:r w:rsidRPr="00431DD0">
              <w:rPr>
                <w:b/>
                <w:bCs/>
                <w:i/>
                <w:iCs/>
                <w:color w:val="FFFFFF" w:themeColor="background1"/>
              </w:rPr>
              <w:t>ex-ante</w:t>
            </w:r>
          </w:p>
        </w:tc>
        <w:tc>
          <w:tcPr>
            <w:tcW w:w="3543" w:type="dxa"/>
            <w:shd w:val="clear" w:color="auto" w:fill="285F83" w:themeFill="text2"/>
          </w:tcPr>
          <w:p w14:paraId="33D1579E" w14:textId="0A3831FC" w:rsidR="00F636BA" w:rsidRPr="004C1EBD" w:rsidRDefault="00F636BA">
            <w:pPr>
              <w:pStyle w:val="Corpsdetexte"/>
              <w:spacing w:before="120"/>
              <w:jc w:val="center"/>
              <w:rPr>
                <w:b/>
                <w:bCs/>
                <w:color w:val="FFFFFF" w:themeColor="background1"/>
              </w:rPr>
            </w:pPr>
            <w:r>
              <w:rPr>
                <w:b/>
                <w:bCs/>
                <w:color w:val="FFFFFF" w:themeColor="background1"/>
              </w:rPr>
              <w:t xml:space="preserve">Contrôle </w:t>
            </w:r>
            <w:r w:rsidRPr="00431DD0">
              <w:rPr>
                <w:b/>
                <w:bCs/>
                <w:i/>
                <w:iCs/>
                <w:color w:val="FFFFFF" w:themeColor="background1"/>
              </w:rPr>
              <w:t>ex-post</w:t>
            </w:r>
          </w:p>
        </w:tc>
      </w:tr>
      <w:tr w:rsidR="004C3790" w:rsidRPr="00A56DE9" w14:paraId="59BABCD1" w14:textId="3E4C0C5B" w:rsidTr="00842452">
        <w:trPr>
          <w:trHeight w:val="964"/>
        </w:trPr>
        <w:tc>
          <w:tcPr>
            <w:tcW w:w="2552" w:type="dxa"/>
            <w:tcBorders>
              <w:top w:val="single" w:sz="4" w:space="0" w:color="auto"/>
            </w:tcBorders>
            <w:shd w:val="clear" w:color="auto" w:fill="285F83" w:themeFill="text2"/>
            <w:tcMar>
              <w:top w:w="72" w:type="dxa"/>
              <w:left w:w="144" w:type="dxa"/>
              <w:bottom w:w="72" w:type="dxa"/>
              <w:right w:w="144" w:type="dxa"/>
            </w:tcMar>
            <w:vAlign w:val="center"/>
            <w:hideMark/>
          </w:tcPr>
          <w:p w14:paraId="23D6EA1E" w14:textId="2416545F" w:rsidR="004C3790" w:rsidRPr="00431DD0" w:rsidRDefault="004C3790" w:rsidP="00431DD0">
            <w:pPr>
              <w:pStyle w:val="Corpsdetexte"/>
              <w:spacing w:before="120"/>
              <w:jc w:val="left"/>
              <w:rPr>
                <w:b/>
                <w:bCs/>
                <w:color w:val="FFFFFF" w:themeColor="background1"/>
              </w:rPr>
            </w:pPr>
            <w:r w:rsidRPr="00000607">
              <w:rPr>
                <w:b/>
                <w:bCs/>
                <w:color w:val="FFFFFF" w:themeColor="background1"/>
              </w:rPr>
              <w:t>Fréquence de la collecte des données pour le contrôle</w:t>
            </w:r>
          </w:p>
        </w:tc>
        <w:tc>
          <w:tcPr>
            <w:tcW w:w="2977" w:type="dxa"/>
            <w:tcMar>
              <w:top w:w="72" w:type="dxa"/>
              <w:left w:w="144" w:type="dxa"/>
              <w:bottom w:w="72" w:type="dxa"/>
              <w:right w:w="144" w:type="dxa"/>
            </w:tcMar>
            <w:vAlign w:val="center"/>
          </w:tcPr>
          <w:p w14:paraId="00805B37" w14:textId="2A3FB8AA" w:rsidR="004C3790" w:rsidRPr="00431DD0" w:rsidRDefault="004C3790" w:rsidP="004C3790">
            <w:pPr>
              <w:pStyle w:val="Corpsdetexte"/>
              <w:spacing w:before="120"/>
              <w:jc w:val="center"/>
            </w:pPr>
            <w:r>
              <w:t>Annuel</w:t>
            </w:r>
          </w:p>
        </w:tc>
        <w:tc>
          <w:tcPr>
            <w:tcW w:w="3543" w:type="dxa"/>
            <w:vAlign w:val="center"/>
          </w:tcPr>
          <w:p w14:paraId="0682D8B7" w14:textId="488A4E68" w:rsidR="004C3790" w:rsidRPr="00431DD0" w:rsidRDefault="004C3790" w:rsidP="004C3790">
            <w:pPr>
              <w:pStyle w:val="Corpsdetexte"/>
              <w:spacing w:before="120"/>
              <w:jc w:val="center"/>
            </w:pPr>
            <w:r w:rsidRPr="00431DD0">
              <w:t>Annuel</w:t>
            </w:r>
          </w:p>
        </w:tc>
      </w:tr>
      <w:tr w:rsidR="004C3790" w:rsidRPr="00A56DE9" w14:paraId="5427C492" w14:textId="2CA59488" w:rsidTr="00842452">
        <w:trPr>
          <w:trHeight w:val="964"/>
        </w:trPr>
        <w:tc>
          <w:tcPr>
            <w:tcW w:w="2552" w:type="dxa"/>
            <w:shd w:val="clear" w:color="auto" w:fill="285F83" w:themeFill="text2"/>
            <w:tcMar>
              <w:top w:w="72" w:type="dxa"/>
              <w:left w:w="144" w:type="dxa"/>
              <w:bottom w:w="72" w:type="dxa"/>
              <w:right w:w="144" w:type="dxa"/>
            </w:tcMar>
            <w:vAlign w:val="center"/>
          </w:tcPr>
          <w:p w14:paraId="6BEA906A" w14:textId="25167FB3" w:rsidR="004C3790" w:rsidRPr="00431DD0" w:rsidRDefault="004C3790" w:rsidP="00431DD0">
            <w:pPr>
              <w:pStyle w:val="Corpsdetexte"/>
              <w:spacing w:before="120"/>
              <w:jc w:val="left"/>
              <w:rPr>
                <w:b/>
                <w:bCs/>
                <w:color w:val="FFFFFF" w:themeColor="background1"/>
              </w:rPr>
            </w:pPr>
            <w:r w:rsidRPr="00000607">
              <w:rPr>
                <w:b/>
                <w:bCs/>
                <w:color w:val="FFFFFF" w:themeColor="background1"/>
              </w:rPr>
              <w:t>Dates de référence d’évaluation du critère en couverture</w:t>
            </w:r>
          </w:p>
        </w:tc>
        <w:tc>
          <w:tcPr>
            <w:tcW w:w="2977" w:type="dxa"/>
            <w:tcMar>
              <w:top w:w="72" w:type="dxa"/>
              <w:left w:w="144" w:type="dxa"/>
              <w:bottom w:w="72" w:type="dxa"/>
              <w:right w:w="144" w:type="dxa"/>
            </w:tcMar>
            <w:vAlign w:val="center"/>
          </w:tcPr>
          <w:p w14:paraId="6BB78AD1" w14:textId="04C1BA28" w:rsidR="004C3790" w:rsidRPr="000526FF" w:rsidRDefault="004C3790" w:rsidP="004C3790">
            <w:pPr>
              <w:pStyle w:val="Corpsdetexte"/>
              <w:spacing w:before="120"/>
              <w:jc w:val="left"/>
            </w:pPr>
            <w:r>
              <w:rPr>
                <w:i/>
                <w:iCs/>
              </w:rPr>
              <w:t xml:space="preserve">Electricité : </w:t>
            </w:r>
            <w:r w:rsidRPr="00431DD0">
              <w:t>1</w:t>
            </w:r>
            <w:r w:rsidRPr="00431DD0">
              <w:rPr>
                <w:vertAlign w:val="superscript"/>
              </w:rPr>
              <w:t>er</w:t>
            </w:r>
            <w:r w:rsidRPr="00431DD0">
              <w:t xml:space="preserve"> juillet N</w:t>
            </w:r>
          </w:p>
          <w:p w14:paraId="58FFB553" w14:textId="59513B72" w:rsidR="004C3790" w:rsidRDefault="004C3790" w:rsidP="004C3790">
            <w:pPr>
              <w:pStyle w:val="Corpsdetexte"/>
              <w:spacing w:before="120"/>
              <w:jc w:val="left"/>
              <w:rPr>
                <w:i/>
                <w:iCs/>
              </w:rPr>
            </w:pPr>
            <w:r>
              <w:rPr>
                <w:i/>
                <w:iCs/>
              </w:rPr>
              <w:t xml:space="preserve">Gaz : </w:t>
            </w:r>
            <w:r w:rsidRPr="00431DD0">
              <w:t>1</w:t>
            </w:r>
            <w:r w:rsidRPr="00431DD0">
              <w:rPr>
                <w:vertAlign w:val="superscript"/>
              </w:rPr>
              <w:t>er</w:t>
            </w:r>
            <w:r w:rsidRPr="00431DD0">
              <w:t xml:space="preserve"> avril N</w:t>
            </w:r>
          </w:p>
        </w:tc>
        <w:tc>
          <w:tcPr>
            <w:tcW w:w="3543" w:type="dxa"/>
            <w:vAlign w:val="center"/>
          </w:tcPr>
          <w:p w14:paraId="0E33E9D7" w14:textId="359EF2AE" w:rsidR="004C3790" w:rsidRPr="00431DD0" w:rsidRDefault="004C3790" w:rsidP="004C3790">
            <w:pPr>
              <w:pStyle w:val="Corpsdetexte"/>
              <w:spacing w:before="120"/>
              <w:jc w:val="left"/>
            </w:pPr>
            <w:r>
              <w:rPr>
                <w:i/>
                <w:iCs/>
              </w:rPr>
              <w:t xml:space="preserve">Electricité : </w:t>
            </w:r>
            <w:r w:rsidRPr="00431DD0">
              <w:t>le 1</w:t>
            </w:r>
            <w:r w:rsidRPr="00431DD0">
              <w:rPr>
                <w:vertAlign w:val="superscript"/>
              </w:rPr>
              <w:t>er</w:t>
            </w:r>
            <w:r w:rsidRPr="00431DD0">
              <w:t xml:space="preserve"> octobre N-1, le 1</w:t>
            </w:r>
            <w:r w:rsidRPr="00431DD0">
              <w:rPr>
                <w:vertAlign w:val="superscript"/>
              </w:rPr>
              <w:t>er</w:t>
            </w:r>
            <w:r w:rsidRPr="00431DD0">
              <w:t xml:space="preserve"> janvier N et le 1</w:t>
            </w:r>
            <w:r w:rsidRPr="00431DD0">
              <w:rPr>
                <w:vertAlign w:val="superscript"/>
              </w:rPr>
              <w:t>er</w:t>
            </w:r>
            <w:r w:rsidRPr="00431DD0">
              <w:t xml:space="preserve"> avril N</w:t>
            </w:r>
          </w:p>
          <w:p w14:paraId="673FFA26" w14:textId="30D4E6DC" w:rsidR="004C3790" w:rsidRDefault="004C3790" w:rsidP="004C3790">
            <w:pPr>
              <w:pStyle w:val="Corpsdetexte"/>
              <w:spacing w:before="120"/>
              <w:jc w:val="left"/>
              <w:rPr>
                <w:i/>
                <w:iCs/>
              </w:rPr>
            </w:pPr>
            <w:r>
              <w:rPr>
                <w:i/>
                <w:iCs/>
              </w:rPr>
              <w:t xml:space="preserve">Gaz : </w:t>
            </w:r>
            <w:r w:rsidRPr="00431DD0">
              <w:t>le 1</w:t>
            </w:r>
            <w:r w:rsidRPr="00431DD0">
              <w:rPr>
                <w:vertAlign w:val="superscript"/>
              </w:rPr>
              <w:t>er</w:t>
            </w:r>
            <w:r w:rsidRPr="00431DD0">
              <w:t xml:space="preserve"> juillet N-1, le 1</w:t>
            </w:r>
            <w:r w:rsidRPr="00431DD0">
              <w:rPr>
                <w:vertAlign w:val="superscript"/>
              </w:rPr>
              <w:t>er</w:t>
            </w:r>
            <w:r w:rsidRPr="00431DD0">
              <w:t xml:space="preserve"> octobre N-1 et le 1</w:t>
            </w:r>
            <w:r w:rsidRPr="00431DD0">
              <w:rPr>
                <w:vertAlign w:val="superscript"/>
              </w:rPr>
              <w:t>er</w:t>
            </w:r>
            <w:r w:rsidRPr="00431DD0">
              <w:t xml:space="preserve"> janvier N</w:t>
            </w:r>
          </w:p>
        </w:tc>
      </w:tr>
      <w:tr w:rsidR="004C3790" w:rsidRPr="00A56DE9" w14:paraId="32A8FC89" w14:textId="4E7E220B" w:rsidTr="00842452">
        <w:trPr>
          <w:trHeight w:val="964"/>
        </w:trPr>
        <w:tc>
          <w:tcPr>
            <w:tcW w:w="2552" w:type="dxa"/>
            <w:shd w:val="clear" w:color="auto" w:fill="285F83" w:themeFill="text2"/>
            <w:tcMar>
              <w:top w:w="72" w:type="dxa"/>
              <w:left w:w="144" w:type="dxa"/>
              <w:bottom w:w="72" w:type="dxa"/>
              <w:right w:w="144" w:type="dxa"/>
            </w:tcMar>
            <w:vAlign w:val="center"/>
            <w:hideMark/>
          </w:tcPr>
          <w:p w14:paraId="14ACFB18" w14:textId="5F74A175" w:rsidR="004C3790" w:rsidRPr="00431DD0" w:rsidRDefault="004C3790" w:rsidP="00431DD0">
            <w:pPr>
              <w:pStyle w:val="Corpsdetexte"/>
              <w:spacing w:before="120"/>
              <w:jc w:val="left"/>
              <w:rPr>
                <w:b/>
                <w:bCs/>
                <w:color w:val="FFFFFF" w:themeColor="background1"/>
              </w:rPr>
            </w:pPr>
            <w:r w:rsidRPr="00000607">
              <w:rPr>
                <w:b/>
                <w:bCs/>
                <w:color w:val="FFFFFF" w:themeColor="background1"/>
              </w:rPr>
              <w:t>Maille des données de couverture communiquées</w:t>
            </w:r>
          </w:p>
        </w:tc>
        <w:tc>
          <w:tcPr>
            <w:tcW w:w="2977" w:type="dxa"/>
            <w:tcMar>
              <w:top w:w="72" w:type="dxa"/>
              <w:left w:w="144" w:type="dxa"/>
              <w:bottom w:w="72" w:type="dxa"/>
              <w:right w:w="144" w:type="dxa"/>
            </w:tcMar>
            <w:vAlign w:val="center"/>
          </w:tcPr>
          <w:p w14:paraId="67FD5A65" w14:textId="7DF62DAB" w:rsidR="004C3790" w:rsidRDefault="004C3790" w:rsidP="004C3790">
            <w:pPr>
              <w:pStyle w:val="Corpsdetexte"/>
              <w:spacing w:before="120"/>
              <w:jc w:val="left"/>
            </w:pPr>
            <w:r>
              <w:t>Maille trimestrielle en année N</w:t>
            </w:r>
          </w:p>
          <w:p w14:paraId="0D6EC089" w14:textId="65026EBD" w:rsidR="004C3790" w:rsidRDefault="004C3790" w:rsidP="004C3790">
            <w:pPr>
              <w:pStyle w:val="Corpsdetexte"/>
              <w:spacing w:before="120"/>
              <w:jc w:val="left"/>
            </w:pPr>
            <w:r>
              <w:t>Maille annuelle à partir de l’année N+1</w:t>
            </w:r>
          </w:p>
        </w:tc>
        <w:tc>
          <w:tcPr>
            <w:tcW w:w="3543" w:type="dxa"/>
            <w:vAlign w:val="center"/>
          </w:tcPr>
          <w:p w14:paraId="247C6F48" w14:textId="050AAE86" w:rsidR="004C3790" w:rsidRDefault="004C3790" w:rsidP="004C3790">
            <w:pPr>
              <w:pStyle w:val="Corpsdetexte"/>
              <w:spacing w:before="120"/>
              <w:jc w:val="left"/>
            </w:pPr>
            <w:r>
              <w:t>Maille trimestrielle pour l’année de la date de référence.</w:t>
            </w:r>
          </w:p>
          <w:p w14:paraId="57ECD50A" w14:textId="129FA789" w:rsidR="004C3790" w:rsidRDefault="004C3790" w:rsidP="004C3790">
            <w:pPr>
              <w:pStyle w:val="Corpsdetexte"/>
              <w:spacing w:before="120"/>
              <w:jc w:val="left"/>
            </w:pPr>
            <w:r>
              <w:t>Maille annuelle pour les années suivantes</w:t>
            </w:r>
          </w:p>
        </w:tc>
      </w:tr>
    </w:tbl>
    <w:p w14:paraId="74F4D5FD" w14:textId="77777777" w:rsidR="00A5304C" w:rsidRDefault="00A5304C" w:rsidP="0017265A">
      <w:pPr>
        <w:pStyle w:val="Corpsdetexte"/>
      </w:pPr>
    </w:p>
    <w:p w14:paraId="6E4D510D" w14:textId="77777777" w:rsidR="009E3967" w:rsidRPr="00AF7F31" w:rsidRDefault="009E3967" w:rsidP="0017265A">
      <w:pPr>
        <w:pStyle w:val="Corpsdetexte"/>
      </w:pPr>
    </w:p>
    <w:p w14:paraId="2F16EF5A" w14:textId="77777777" w:rsidR="00D07E99" w:rsidRPr="00012800" w:rsidRDefault="00D07E99" w:rsidP="006411A9">
      <w:pPr>
        <w:pStyle w:val="Corpsdetexte"/>
      </w:pPr>
    </w:p>
    <w:p w14:paraId="0C1C4A5E" w14:textId="4CCC156B" w:rsidR="008B7C29" w:rsidRPr="00842452" w:rsidRDefault="00596D23" w:rsidP="008B4A2B">
      <w:pPr>
        <w:pStyle w:val="Titre3"/>
        <w:rPr>
          <w:lang w:val="fr-FR"/>
        </w:rPr>
      </w:pPr>
      <w:bookmarkStart w:id="29" w:name="_Toc232094742"/>
      <w:r w:rsidRPr="00842452">
        <w:rPr>
          <w:lang w:val="fr-FR"/>
        </w:rPr>
        <w:t xml:space="preserve">Taux </w:t>
      </w:r>
      <w:r w:rsidR="00F076C9" w:rsidRPr="00842452">
        <w:rPr>
          <w:lang w:val="fr-FR"/>
        </w:rPr>
        <w:t>de couverture minimum cible</w:t>
      </w:r>
      <w:r w:rsidR="0005410E" w:rsidRPr="00842452">
        <w:rPr>
          <w:lang w:val="fr-FR"/>
        </w:rPr>
        <w:t xml:space="preserve"> retenu dans le critère en couverture</w:t>
      </w:r>
      <w:bookmarkEnd w:id="29"/>
    </w:p>
    <w:p w14:paraId="52E628AB" w14:textId="24E00CD6" w:rsidR="00E24AF1" w:rsidRDefault="00E24AF1" w:rsidP="003079FD">
      <w:pPr>
        <w:pStyle w:val="Corpsdetexte"/>
      </w:pPr>
      <w:r w:rsidRPr="00E24AF1">
        <w:t xml:space="preserve">La CRE </w:t>
      </w:r>
      <w:r w:rsidR="004C3790">
        <w:t>retient</w:t>
      </w:r>
      <w:r w:rsidR="00390BDB">
        <w:t xml:space="preserve"> </w:t>
      </w:r>
      <w:r w:rsidRPr="00E24AF1">
        <w:t xml:space="preserve">un </w:t>
      </w:r>
      <w:r w:rsidR="003701B4">
        <w:t>critère de</w:t>
      </w:r>
      <w:r w:rsidRPr="00E24AF1">
        <w:t xml:space="preserve"> couverture </w:t>
      </w:r>
      <w:r w:rsidR="003701B4">
        <w:t>asymétrique</w:t>
      </w:r>
      <w:r w:rsidRPr="00E24AF1">
        <w:t xml:space="preserve"> </w:t>
      </w:r>
      <w:r w:rsidR="007454AB">
        <w:t xml:space="preserve">des </w:t>
      </w:r>
      <w:r w:rsidRPr="00E24AF1">
        <w:t xml:space="preserve">engagements </w:t>
      </w:r>
      <w:r w:rsidR="00787908">
        <w:t xml:space="preserve">couvrant </w:t>
      </w:r>
      <w:r w:rsidR="00A033CD">
        <w:t>exclusivement les situations de</w:t>
      </w:r>
      <w:r w:rsidR="00420C13">
        <w:t xml:space="preserve"> sous-couverture</w:t>
      </w:r>
      <w:r w:rsidR="00A033CD">
        <w:t xml:space="preserve">, </w:t>
      </w:r>
      <w:r w:rsidR="003701B4">
        <w:t xml:space="preserve">justifié par </w:t>
      </w:r>
      <w:r w:rsidR="003722D3">
        <w:t xml:space="preserve">(i) </w:t>
      </w:r>
      <w:r w:rsidR="003701B4">
        <w:t>la</w:t>
      </w:r>
      <w:r w:rsidR="004F5369">
        <w:t xml:space="preserve"> </w:t>
      </w:r>
      <w:r w:rsidR="00A033CD">
        <w:t xml:space="preserve">prédominance de la sous-couverture dans les </w:t>
      </w:r>
      <w:r w:rsidRPr="00E24AF1">
        <w:t xml:space="preserve">faillites </w:t>
      </w:r>
      <w:r w:rsidR="003722D3">
        <w:t>historiquement constatées</w:t>
      </w:r>
      <w:r w:rsidR="004F5369">
        <w:t xml:space="preserve"> et </w:t>
      </w:r>
      <w:r w:rsidR="003722D3">
        <w:t>(ii)</w:t>
      </w:r>
      <w:r w:rsidR="00BE209D">
        <w:t xml:space="preserve"> </w:t>
      </w:r>
      <w:r w:rsidR="00980A03">
        <w:t>l’</w:t>
      </w:r>
      <w:r w:rsidR="00BE209D" w:rsidRPr="00E24AF1">
        <w:t>impact</w:t>
      </w:r>
      <w:r w:rsidR="009D4EEC">
        <w:t xml:space="preserve"> </w:t>
      </w:r>
      <w:r w:rsidR="009A048F">
        <w:t>sociétal</w:t>
      </w:r>
      <w:r w:rsidRPr="00E24AF1">
        <w:t xml:space="preserve"> </w:t>
      </w:r>
      <w:r w:rsidR="004E6704">
        <w:t>limité</w:t>
      </w:r>
      <w:r w:rsidR="000D0C7F">
        <w:t xml:space="preserve"> </w:t>
      </w:r>
      <w:r w:rsidRPr="00E24AF1">
        <w:t xml:space="preserve">d'une faillite en cas de </w:t>
      </w:r>
      <w:r w:rsidR="004E6704">
        <w:t>sur</w:t>
      </w:r>
      <w:r w:rsidRPr="00E24AF1">
        <w:t>couverture</w:t>
      </w:r>
      <w:r w:rsidR="000D0C7F">
        <w:t xml:space="preserve">, par rapport à la </w:t>
      </w:r>
      <w:r w:rsidR="004E6704">
        <w:t>sous</w:t>
      </w:r>
      <w:r w:rsidR="000D0C7F">
        <w:t>-couverture</w:t>
      </w:r>
      <w:r w:rsidRPr="00E24AF1">
        <w:t xml:space="preserve">. </w:t>
      </w:r>
      <w:r w:rsidR="009D4EEC">
        <w:t xml:space="preserve">En effet, dans </w:t>
      </w:r>
      <w:r w:rsidR="002833A3">
        <w:t>une situation de</w:t>
      </w:r>
      <w:r w:rsidRPr="00E24AF1">
        <w:t xml:space="preserve"> surcouverture</w:t>
      </w:r>
      <w:r w:rsidR="009D4EEC">
        <w:t xml:space="preserve"> des engagements</w:t>
      </w:r>
      <w:r w:rsidRPr="00E24AF1">
        <w:t xml:space="preserve">, la baisse des prix est la principale cause de faillite, mais </w:t>
      </w:r>
      <w:r w:rsidR="00564A35">
        <w:t>cette baisse</w:t>
      </w:r>
      <w:r w:rsidRPr="00E24AF1">
        <w:t xml:space="preserve"> </w:t>
      </w:r>
      <w:r w:rsidR="006F275F">
        <w:t>permet</w:t>
      </w:r>
      <w:r w:rsidR="006F275F" w:rsidRPr="00E24AF1">
        <w:t xml:space="preserve"> </w:t>
      </w:r>
      <w:r w:rsidRPr="00E24AF1">
        <w:t>au fournisseur de secours de reprendre le portefeuille à des prix d</w:t>
      </w:r>
      <w:r w:rsidR="00665662">
        <w:t>e</w:t>
      </w:r>
      <w:r w:rsidRPr="00E24AF1">
        <w:t xml:space="preserve"> marché plus bas, minimisant ainsi les conséquences pour les consommateurs.</w:t>
      </w:r>
    </w:p>
    <w:p w14:paraId="4FF45F74" w14:textId="70C20B3A" w:rsidR="00220CA3" w:rsidRDefault="003079FD" w:rsidP="003079FD">
      <w:pPr>
        <w:pStyle w:val="Corpsdetexte"/>
      </w:pPr>
      <w:r>
        <w:t xml:space="preserve">Le dimensionnement du niveau de couverture minimum cible est central pour assurer l’efficacité du mécanisme. </w:t>
      </w:r>
      <w:r w:rsidR="00002C36">
        <w:t>L</w:t>
      </w:r>
      <w:r>
        <w:t xml:space="preserve">a CRE considère pertinent que </w:t>
      </w:r>
      <w:r w:rsidR="00B337F2">
        <w:t xml:space="preserve">le critère en couverture invite le fournisseur à poursuivre </w:t>
      </w:r>
      <w:r w:rsidR="00302323">
        <w:t>l</w:t>
      </w:r>
      <w:r w:rsidR="00075947">
        <w:t>’objectif de couverture de l</w:t>
      </w:r>
      <w:r w:rsidR="00302323">
        <w:t xml:space="preserve">a totalité </w:t>
      </w:r>
      <w:r>
        <w:t xml:space="preserve">des consommations prévisionnelles des offres en portefeuille visées au </w:t>
      </w:r>
      <w:r w:rsidR="00377ACC" w:rsidRPr="00C340FC">
        <w:t>2.</w:t>
      </w:r>
      <w:r w:rsidR="005376E7" w:rsidRPr="00C340FC">
        <w:t>2</w:t>
      </w:r>
      <w:r w:rsidRPr="00C340FC">
        <w:t>.</w:t>
      </w:r>
      <w:r>
        <w:t xml:space="preserve"> </w:t>
      </w:r>
    </w:p>
    <w:p w14:paraId="68EA7CA1" w14:textId="206FF02D" w:rsidR="004209AA" w:rsidRDefault="003079FD" w:rsidP="004C3790">
      <w:pPr>
        <w:pStyle w:val="Corpsdetexte"/>
      </w:pPr>
      <w:r>
        <w:lastRenderedPageBreak/>
        <w:t xml:space="preserve">Une marge de tolérance normative pourrait </w:t>
      </w:r>
      <w:r w:rsidR="00B30EDF">
        <w:t xml:space="preserve">cependant </w:t>
      </w:r>
      <w:r>
        <w:t xml:space="preserve">être prise en compte afin de couvrir les éventuels </w:t>
      </w:r>
      <w:r w:rsidR="00BD7B1C">
        <w:t>délais</w:t>
      </w:r>
      <w:r>
        <w:t xml:space="preserve"> pouvant survenir</w:t>
      </w:r>
      <w:r w:rsidR="00BD7B1C">
        <w:t xml:space="preserve"> entre les mouvements de portefeuille et </w:t>
      </w:r>
      <w:r w:rsidR="009C10C8">
        <w:t>leur reflet dans la stratégie d’approvisionnement</w:t>
      </w:r>
      <w:r>
        <w:t xml:space="preserve">. </w:t>
      </w:r>
      <w:r w:rsidR="004C3790">
        <w:t>La</w:t>
      </w:r>
      <w:r w:rsidR="00557FBB">
        <w:t xml:space="preserve"> marge de tolérance proposée vise d’ores et déjà à </w:t>
      </w:r>
      <w:r w:rsidR="00316774">
        <w:t>tenir compte de</w:t>
      </w:r>
      <w:r w:rsidR="004159BC">
        <w:t xml:space="preserve"> potentiel</w:t>
      </w:r>
      <w:r w:rsidR="004D591D">
        <w:t>s</w:t>
      </w:r>
      <w:r w:rsidR="004159BC">
        <w:t xml:space="preserve"> délais d’approvisionnement</w:t>
      </w:r>
      <w:r w:rsidR="00652A69">
        <w:t xml:space="preserve">, </w:t>
      </w:r>
      <w:r w:rsidR="001302BE">
        <w:t xml:space="preserve">mais estime </w:t>
      </w:r>
      <w:r w:rsidR="00652A69">
        <w:t>que l</w:t>
      </w:r>
      <w:r w:rsidR="006B673B">
        <w:t xml:space="preserve">e mécanisme </w:t>
      </w:r>
      <w:r w:rsidR="00652A69">
        <w:t xml:space="preserve">proposé </w:t>
      </w:r>
      <w:r w:rsidR="006B673B">
        <w:t xml:space="preserve">inclut une marge de </w:t>
      </w:r>
      <w:r w:rsidR="0006781F">
        <w:t>flexibilité</w:t>
      </w:r>
      <w:r w:rsidR="006B673B">
        <w:t xml:space="preserve"> </w:t>
      </w:r>
      <w:r w:rsidR="00652A69">
        <w:t xml:space="preserve">additionnelle </w:t>
      </w:r>
      <w:r w:rsidR="006B673B">
        <w:t xml:space="preserve">pour </w:t>
      </w:r>
      <w:r w:rsidR="00E93F34">
        <w:t>les fournisseurs</w:t>
      </w:r>
      <w:r w:rsidR="004209AA">
        <w:t xml:space="preserve"> : </w:t>
      </w:r>
    </w:p>
    <w:p w14:paraId="48B88F07" w14:textId="6AE54131" w:rsidR="0005410E" w:rsidRDefault="00AB4F6C" w:rsidP="00431DD0">
      <w:pPr>
        <w:pStyle w:val="Corpsdetexte"/>
        <w:numPr>
          <w:ilvl w:val="0"/>
          <w:numId w:val="104"/>
        </w:numPr>
      </w:pPr>
      <w:proofErr w:type="gramStart"/>
      <w:r>
        <w:t>en</w:t>
      </w:r>
      <w:proofErr w:type="gramEnd"/>
      <w:r>
        <w:t xml:space="preserve"> leur laissant la possibilité de </w:t>
      </w:r>
      <w:r w:rsidR="003E24D9">
        <w:t xml:space="preserve">transmettre </w:t>
      </w:r>
      <w:r>
        <w:t>leurs propres données de consommation prévisionnelle à température normale</w:t>
      </w:r>
      <w:r w:rsidR="00A10160">
        <w:t xml:space="preserve"> pour le contrôle</w:t>
      </w:r>
      <w:r w:rsidR="00B15111">
        <w:t xml:space="preserve">, </w:t>
      </w:r>
      <w:r w:rsidR="00C45A23">
        <w:t>externalisant ainsi les aléas liés à la consommation</w:t>
      </w:r>
      <w:r w:rsidR="000D11BE">
        <w:t> ;</w:t>
      </w:r>
      <w:r w:rsidR="00C45A23">
        <w:t xml:space="preserve"> </w:t>
      </w:r>
    </w:p>
    <w:p w14:paraId="336086EE" w14:textId="63CA3C3B" w:rsidR="00C75BC9" w:rsidRDefault="003D06AB" w:rsidP="00431DD0">
      <w:pPr>
        <w:pStyle w:val="Corpsdetexte"/>
        <w:numPr>
          <w:ilvl w:val="0"/>
          <w:numId w:val="104"/>
        </w:numPr>
      </w:pPr>
      <w:proofErr w:type="gramStart"/>
      <w:r>
        <w:t>en</w:t>
      </w:r>
      <w:proofErr w:type="gramEnd"/>
      <w:r>
        <w:t xml:space="preserve"> laissant la possibilité aux fournisseurs de mettre en œuvre des stratégies de proxy hedging</w:t>
      </w:r>
      <w:r w:rsidR="001379FF">
        <w:t>, pour tenir compte des contraintes de liquidité.</w:t>
      </w:r>
    </w:p>
    <w:p w14:paraId="2839B07E" w14:textId="5A605439" w:rsidR="000D11BE" w:rsidRDefault="007E04D3" w:rsidP="000D11BE">
      <w:pPr>
        <w:pStyle w:val="Corpsdetexte"/>
      </w:pPr>
      <w:r>
        <w:t>La C</w:t>
      </w:r>
      <w:r w:rsidR="001379FF">
        <w:t xml:space="preserve">RE </w:t>
      </w:r>
      <w:r w:rsidR="003A0220">
        <w:t>retient</w:t>
      </w:r>
      <w:r w:rsidR="004C3790">
        <w:t xml:space="preserve"> ainsi</w:t>
      </w:r>
      <w:r w:rsidR="00F640A7">
        <w:t xml:space="preserve"> </w:t>
      </w:r>
      <w:r w:rsidR="003A0220">
        <w:t>un</w:t>
      </w:r>
      <w:r w:rsidR="00F640A7">
        <w:t xml:space="preserve"> </w:t>
      </w:r>
      <w:r w:rsidR="00F640A7" w:rsidRPr="00842452">
        <w:rPr>
          <w:b/>
          <w:bCs/>
        </w:rPr>
        <w:t xml:space="preserve">taux de couverture minimum cible à </w:t>
      </w:r>
      <w:r w:rsidR="007F21D3" w:rsidRPr="00842452">
        <w:rPr>
          <w:b/>
          <w:bCs/>
        </w:rPr>
        <w:t>95%</w:t>
      </w:r>
      <w:r w:rsidR="007F21D3">
        <w:t xml:space="preserve">. </w:t>
      </w:r>
    </w:p>
    <w:p w14:paraId="547EF49D" w14:textId="395F83DF" w:rsidR="0039066C" w:rsidRDefault="0039066C" w:rsidP="000D11BE">
      <w:pPr>
        <w:pStyle w:val="Corpsdetexte"/>
      </w:pPr>
      <w:r>
        <w:t xml:space="preserve">Par ailleurs, </w:t>
      </w:r>
      <w:r w:rsidR="00012AF9">
        <w:t xml:space="preserve">le mécanisme </w:t>
      </w:r>
      <w:r w:rsidR="00364EF1">
        <w:t xml:space="preserve">doit prendre en considération le cas des fournisseurs de </w:t>
      </w:r>
      <w:r w:rsidR="00842CC6">
        <w:t xml:space="preserve">petite </w:t>
      </w:r>
      <w:r w:rsidR="00364EF1">
        <w:t>taille pour lesquels la marge de tolérance</w:t>
      </w:r>
      <w:r w:rsidR="003A0220">
        <w:t xml:space="preserve"> de </w:t>
      </w:r>
      <w:r w:rsidR="00364EF1">
        <w:t>5%</w:t>
      </w:r>
      <w:r w:rsidR="001C11C2">
        <w:t xml:space="preserve">, rencontre les </w:t>
      </w:r>
      <w:r w:rsidR="00842CC6">
        <w:t xml:space="preserve">limites </w:t>
      </w:r>
      <w:r w:rsidR="00AA6CD6">
        <w:t xml:space="preserve">de la granularité </w:t>
      </w:r>
      <w:r w:rsidR="00144949">
        <w:t xml:space="preserve">volumique </w:t>
      </w:r>
      <w:r w:rsidR="00AA6CD6">
        <w:t>du marché</w:t>
      </w:r>
      <w:r w:rsidR="00583532">
        <w:t xml:space="preserve">, de l’ordre du </w:t>
      </w:r>
      <w:r w:rsidR="00CD299E">
        <w:t>MW</w:t>
      </w:r>
      <w:r w:rsidR="000A1311">
        <w:t>h/h</w:t>
      </w:r>
      <w:r w:rsidR="00CD299E">
        <w:t xml:space="preserve"> pour les futures en électricité et gaz naturel</w:t>
      </w:r>
      <w:r w:rsidR="00AA6CD6">
        <w:t xml:space="preserve">. </w:t>
      </w:r>
      <w:r w:rsidR="00120258">
        <w:t xml:space="preserve">Ainsi, </w:t>
      </w:r>
      <w:r w:rsidR="00120258" w:rsidRPr="00842452">
        <w:rPr>
          <w:b/>
          <w:bCs/>
        </w:rPr>
        <w:t>la CRE retien</w:t>
      </w:r>
      <w:r w:rsidR="006E55DC" w:rsidRPr="00842452">
        <w:rPr>
          <w:b/>
          <w:bCs/>
        </w:rPr>
        <w:t>t</w:t>
      </w:r>
      <w:r w:rsidR="00120258" w:rsidRPr="00842452">
        <w:rPr>
          <w:b/>
          <w:bCs/>
        </w:rPr>
        <w:t xml:space="preserve"> la marge </w:t>
      </w:r>
      <w:r w:rsidR="00741DC7" w:rsidRPr="00842452">
        <w:rPr>
          <w:b/>
          <w:bCs/>
        </w:rPr>
        <w:t xml:space="preserve">la plus importante entre 5% et </w:t>
      </w:r>
      <w:r w:rsidR="008F037E" w:rsidRPr="00842452">
        <w:rPr>
          <w:b/>
          <w:bCs/>
        </w:rPr>
        <w:t>l’énergie cumulée d’</w:t>
      </w:r>
      <w:r w:rsidR="00D3399F" w:rsidRPr="00842452">
        <w:rPr>
          <w:b/>
          <w:bCs/>
        </w:rPr>
        <w:t>un ruban de 1</w:t>
      </w:r>
      <w:r w:rsidR="00593405" w:rsidRPr="00842452">
        <w:rPr>
          <w:b/>
          <w:bCs/>
        </w:rPr>
        <w:t> </w:t>
      </w:r>
      <w:r w:rsidR="00D3399F" w:rsidRPr="00842452">
        <w:rPr>
          <w:b/>
          <w:bCs/>
        </w:rPr>
        <w:t>MW</w:t>
      </w:r>
      <w:r w:rsidR="00DB15F3" w:rsidRPr="00842452">
        <w:rPr>
          <w:b/>
          <w:bCs/>
        </w:rPr>
        <w:t xml:space="preserve"> sur </w:t>
      </w:r>
      <w:r w:rsidR="00D92D97" w:rsidRPr="00842452">
        <w:rPr>
          <w:b/>
          <w:bCs/>
        </w:rPr>
        <w:t>la</w:t>
      </w:r>
      <w:r w:rsidR="003A5B63" w:rsidRPr="00842452">
        <w:rPr>
          <w:b/>
          <w:bCs/>
        </w:rPr>
        <w:t xml:space="preserve"> période de contrôle considérée.</w:t>
      </w:r>
    </w:p>
    <w:p w14:paraId="64748E53" w14:textId="77777777" w:rsidR="000469C9" w:rsidRPr="00A565CB" w:rsidRDefault="000469C9" w:rsidP="00A565CB">
      <w:pPr>
        <w:pStyle w:val="Corpsdetexte"/>
      </w:pPr>
    </w:p>
    <w:p w14:paraId="0A2774F5" w14:textId="0C19C577" w:rsidR="00F076C9" w:rsidRDefault="00CF5EBB" w:rsidP="00372EFD">
      <w:pPr>
        <w:pStyle w:val="Titre2"/>
      </w:pPr>
      <w:bookmarkStart w:id="30" w:name="_Toc232094743"/>
      <w:r>
        <w:t>Critères d’éligibilité des couvertures prudentielles</w:t>
      </w:r>
      <w:bookmarkEnd w:id="30"/>
    </w:p>
    <w:p w14:paraId="09F2EAA5" w14:textId="47FC60A7" w:rsidR="00937C80" w:rsidDel="004C3790" w:rsidRDefault="00937C80">
      <w:pPr>
        <w:pStyle w:val="Corpsdetexte"/>
      </w:pPr>
      <w:r>
        <w:t>Une fois établi</w:t>
      </w:r>
      <w:r w:rsidR="002F0FA4">
        <w:t>e l’assiette des engagements à remplir dans le cadre du critère en couverture</w:t>
      </w:r>
      <w:r w:rsidR="00E261B0">
        <w:t>, il convient de préciser les</w:t>
      </w:r>
      <w:r w:rsidR="00CB2E65">
        <w:t xml:space="preserve"> modalités d’utilisation des couvertures</w:t>
      </w:r>
      <w:r w:rsidR="006D1BDC">
        <w:t xml:space="preserve">. La CRE </w:t>
      </w:r>
      <w:r w:rsidR="004C3790">
        <w:t>souhaite</w:t>
      </w:r>
      <w:r w:rsidR="003A0220">
        <w:t xml:space="preserve"> </w:t>
      </w:r>
      <w:r w:rsidR="008215EC">
        <w:t xml:space="preserve">tenir </w:t>
      </w:r>
      <w:r w:rsidR="00CB2E65">
        <w:t xml:space="preserve">compte </w:t>
      </w:r>
      <w:r w:rsidR="004334FF">
        <w:t>de manière la plus fidèle possible de</w:t>
      </w:r>
      <w:r w:rsidR="001F5A12">
        <w:t xml:space="preserve"> la </w:t>
      </w:r>
      <w:r w:rsidR="00EF76D8">
        <w:t>réduction des risques permis</w:t>
      </w:r>
      <w:r w:rsidR="00111B84">
        <w:t>e</w:t>
      </w:r>
      <w:r w:rsidR="00EF76D8">
        <w:t xml:space="preserve"> par chaque instrument utilisé dans le cadre des stratégies de couverture </w:t>
      </w:r>
      <w:r w:rsidR="00585FAC">
        <w:t>des fournisseurs</w:t>
      </w:r>
      <w:r w:rsidR="003A0220">
        <w:t xml:space="preserve">. Pour cela, il faut </w:t>
      </w:r>
      <w:r w:rsidR="0006435B">
        <w:t xml:space="preserve">pouvoir s’assurer de la fiabilité des volumes déclarés, </w:t>
      </w:r>
      <w:r w:rsidR="00DB4B28">
        <w:t>de la fixité des prix d’achat ou du coût de production pour les actifs phy</w:t>
      </w:r>
      <w:r w:rsidR="00896149">
        <w:t>siques</w:t>
      </w:r>
      <w:r w:rsidR="00D37272">
        <w:t>, et de la fiabilité des contreparties internes et externes mobilisées.</w:t>
      </w:r>
      <w:r w:rsidR="00C15911">
        <w:t xml:space="preserve"> </w:t>
      </w:r>
      <w:r w:rsidR="00D40B1A">
        <w:t>Ainsi</w:t>
      </w:r>
      <w:r w:rsidR="00D40B1A" w:rsidDel="004C3790">
        <w:t>,</w:t>
      </w:r>
      <w:r w:rsidR="00C15911" w:rsidDel="004C3790">
        <w:t xml:space="preserve"> </w:t>
      </w:r>
      <w:r w:rsidR="00CD73E8" w:rsidDel="004C3790">
        <w:t>la</w:t>
      </w:r>
      <w:r w:rsidR="00BB7CE3" w:rsidDel="004C3790">
        <w:t xml:space="preserve"> </w:t>
      </w:r>
      <w:r w:rsidR="004308F0" w:rsidDel="004C3790">
        <w:t xml:space="preserve">CRE souhaitait que le fournisseur transmette à la CRE des éléments complémentaires </w:t>
      </w:r>
      <w:r w:rsidR="00433646" w:rsidDel="004C3790">
        <w:t>pour justifier d</w:t>
      </w:r>
      <w:r w:rsidR="00EE587A" w:rsidDel="004C3790">
        <w:t xml:space="preserve">u respect de ces exigences par </w:t>
      </w:r>
      <w:r w:rsidR="00A473D2" w:rsidDel="004C3790">
        <w:t>chaque instrument de couverture.</w:t>
      </w:r>
    </w:p>
    <w:p w14:paraId="5A33D50C" w14:textId="3814C993" w:rsidR="005F47A4" w:rsidRDefault="00DF4516" w:rsidP="001C22B8">
      <w:pPr>
        <w:pStyle w:val="Corpsdetexte"/>
      </w:pPr>
      <w:r>
        <w:t xml:space="preserve">Les sous-sections suivantes </w:t>
      </w:r>
      <w:r w:rsidR="00CC2B8B">
        <w:t>détaillent le cas des différents moyens de couverture listés par la CRE ou les acteurs.</w:t>
      </w:r>
    </w:p>
    <w:p w14:paraId="2012757C" w14:textId="3354BCF5" w:rsidR="005D1E2D" w:rsidRPr="005D1E2D" w:rsidRDefault="005D1E2D" w:rsidP="001C22B8">
      <w:pPr>
        <w:pStyle w:val="Corpsdetexte"/>
      </w:pPr>
    </w:p>
    <w:p w14:paraId="7DD4552A" w14:textId="4D0360A8" w:rsidR="00CF5EBB" w:rsidRPr="00842452" w:rsidRDefault="00CF5EBB" w:rsidP="008B4A2B">
      <w:pPr>
        <w:pStyle w:val="Titre3"/>
        <w:rPr>
          <w:lang w:val="fr-FR"/>
        </w:rPr>
      </w:pPr>
      <w:bookmarkStart w:id="31" w:name="_Toc232094744"/>
      <w:r w:rsidRPr="00842452">
        <w:rPr>
          <w:lang w:val="fr-FR"/>
        </w:rPr>
        <w:t xml:space="preserve">Couverture par la </w:t>
      </w:r>
      <w:r w:rsidRPr="00842452" w:rsidDel="00567634">
        <w:rPr>
          <w:lang w:val="fr-FR"/>
        </w:rPr>
        <w:t xml:space="preserve">détention </w:t>
      </w:r>
      <w:r w:rsidRPr="00842452">
        <w:rPr>
          <w:lang w:val="fr-FR"/>
        </w:rPr>
        <w:t>d’actifs physiques</w:t>
      </w:r>
      <w:bookmarkEnd w:id="31"/>
    </w:p>
    <w:p w14:paraId="355A8E46" w14:textId="27C7718A" w:rsidR="00741915" w:rsidRDefault="004A2FA1" w:rsidP="00002CD2">
      <w:pPr>
        <w:pStyle w:val="Corpsdetexte"/>
      </w:pPr>
      <w:r>
        <w:t xml:space="preserve">La CRE </w:t>
      </w:r>
      <w:r w:rsidR="00987D1C">
        <w:t>demande au</w:t>
      </w:r>
      <w:r w:rsidR="00606FD6">
        <w:t xml:space="preserve"> fournisseur </w:t>
      </w:r>
      <w:r w:rsidR="00B54FCD">
        <w:t>mobilisant</w:t>
      </w:r>
      <w:r w:rsidR="00A52408">
        <w:t xml:space="preserve"> </w:t>
      </w:r>
      <w:r w:rsidR="00C9192C">
        <w:t xml:space="preserve">des actifs physiques en interne </w:t>
      </w:r>
      <w:r w:rsidR="00B54FCD">
        <w:t>en tant que moyen de couverture de ses engagements</w:t>
      </w:r>
      <w:r w:rsidR="00987D1C">
        <w:t xml:space="preserve"> qu’il</w:t>
      </w:r>
      <w:r w:rsidR="00741915">
        <w:t xml:space="preserve"> s’appu</w:t>
      </w:r>
      <w:r w:rsidR="00002CD2">
        <w:t>i</w:t>
      </w:r>
      <w:r w:rsidR="00741915">
        <w:t xml:space="preserve">e sur des prévisions médianes ou moyennes pour sa déclaration. </w:t>
      </w:r>
      <w:r w:rsidR="00002CD2">
        <w:t>La CRE considère que</w:t>
      </w:r>
      <w:r w:rsidR="00741915">
        <w:t xml:space="preserve"> les hypothèses moyennes ou médianes sont les seules admissibles pour couvrir des engagements sans risque de surcouverture ou sous-couverture.  </w:t>
      </w:r>
    </w:p>
    <w:p w14:paraId="5BCD46A6" w14:textId="2CA987A9" w:rsidR="00A11FF6" w:rsidRDefault="00E63776" w:rsidP="000368A5">
      <w:pPr>
        <w:pStyle w:val="Corpsdetexte"/>
      </w:pPr>
      <w:r>
        <w:t>E</w:t>
      </w:r>
      <w:r w:rsidR="00E7539D">
        <w:t xml:space="preserve">n outre </w:t>
      </w:r>
      <w:r>
        <w:t xml:space="preserve">le </w:t>
      </w:r>
      <w:r w:rsidR="00E7539D">
        <w:t xml:space="preserve">fournisseur </w:t>
      </w:r>
      <w:r w:rsidR="003D028A">
        <w:t xml:space="preserve">doit </w:t>
      </w:r>
      <w:proofErr w:type="gramStart"/>
      <w:r>
        <w:t>être</w:t>
      </w:r>
      <w:r w:rsidR="00E7539D">
        <w:t xml:space="preserve"> en capacité</w:t>
      </w:r>
      <w:proofErr w:type="gramEnd"/>
      <w:r w:rsidR="00E7539D">
        <w:t xml:space="preserve"> de </w:t>
      </w:r>
      <w:r w:rsidR="00115682">
        <w:t>justifier</w:t>
      </w:r>
      <w:r w:rsidR="00E7539D">
        <w:t xml:space="preserve"> les règles d’affectation des volumes</w:t>
      </w:r>
      <w:r w:rsidR="00115682">
        <w:t xml:space="preserve"> sur demande de la CRE</w:t>
      </w:r>
      <w:r w:rsidR="00E7539D">
        <w:t xml:space="preserve">. </w:t>
      </w:r>
      <w:r>
        <w:t>La CRE</w:t>
      </w:r>
      <w:r w:rsidR="00E8003A">
        <w:t xml:space="preserve"> </w:t>
      </w:r>
      <w:r w:rsidR="000226F8">
        <w:t>permet à l’acteur de renseigner u</w:t>
      </w:r>
      <w:r w:rsidR="00E8003A">
        <w:t>n « volume équivalent prix fixe</w:t>
      </w:r>
      <w:r w:rsidR="007E07E5">
        <w:t> » justifié par le détail agrégé du mix</w:t>
      </w:r>
      <w:r w:rsidR="00AF6639">
        <w:t xml:space="preserve"> </w:t>
      </w:r>
      <w:r w:rsidR="007E07E5">
        <w:t>de production</w:t>
      </w:r>
      <w:r w:rsidR="00993488">
        <w:t xml:space="preserve">, </w:t>
      </w:r>
      <w:r w:rsidR="005227DB">
        <w:t>sous la condition que l’ensemble des sous-jacents pour les actifs thermiques</w:t>
      </w:r>
      <w:r w:rsidR="00F76DDF">
        <w:t xml:space="preserve"> exposés en prix</w:t>
      </w:r>
      <w:r w:rsidR="005227DB">
        <w:t xml:space="preserve"> (intrants, certificats d’émission) soit couvert sur le marché</w:t>
      </w:r>
      <w:r w:rsidR="00E93362">
        <w:t xml:space="preserve">, </w:t>
      </w:r>
      <w:r>
        <w:t>dans une logique</w:t>
      </w:r>
      <w:r w:rsidR="00E93362">
        <w:t xml:space="preserve"> d’égalité de traitement des moyens de couverture.</w:t>
      </w:r>
      <w:r w:rsidR="004D38C5">
        <w:t xml:space="preserve"> La CRE </w:t>
      </w:r>
      <w:r>
        <w:t xml:space="preserve">ne </w:t>
      </w:r>
      <w:r w:rsidR="000D5FD9">
        <w:t>demande</w:t>
      </w:r>
      <w:r>
        <w:t xml:space="preserve"> </w:t>
      </w:r>
      <w:r w:rsidR="004D38C5">
        <w:t xml:space="preserve">donc </w:t>
      </w:r>
      <w:r>
        <w:t>pas au</w:t>
      </w:r>
      <w:r w:rsidR="00BB253D">
        <w:t xml:space="preserve"> fournisseur les prix des ventes internes mobilisées. </w:t>
      </w:r>
    </w:p>
    <w:p w14:paraId="7B7E28A6" w14:textId="09D82BAF" w:rsidR="00C361A6" w:rsidRDefault="000A3B80" w:rsidP="000368A5">
      <w:pPr>
        <w:pStyle w:val="Corpsdetexte"/>
      </w:pPr>
      <w:r>
        <w:t xml:space="preserve">S’agissant de l’éligibilité du stockage </w:t>
      </w:r>
      <w:r w:rsidR="00E63776">
        <w:t xml:space="preserve">de gaz </w:t>
      </w:r>
      <w:r>
        <w:t xml:space="preserve">et des droits de tirage, </w:t>
      </w:r>
      <w:r w:rsidR="00994B1A">
        <w:t>l</w:t>
      </w:r>
      <w:r w:rsidR="004F2F73">
        <w:t>‘</w:t>
      </w:r>
      <w:r w:rsidR="00B33077">
        <w:t>utilisation de ces actifs physiques est éligible</w:t>
      </w:r>
      <w:r w:rsidR="00866DF9">
        <w:t xml:space="preserve"> en tant que couverture</w:t>
      </w:r>
      <w:r w:rsidR="00B33077">
        <w:t xml:space="preserve"> </w:t>
      </w:r>
      <w:r w:rsidR="00866DF9">
        <w:t>selon les mêmes conditions que les actifs physiques de production en interne</w:t>
      </w:r>
      <w:r w:rsidR="001A3D45">
        <w:t xml:space="preserve"> : les fournisseurs </w:t>
      </w:r>
      <w:r w:rsidR="00460CD6">
        <w:t>doivent</w:t>
      </w:r>
      <w:r w:rsidR="001A3D45">
        <w:t xml:space="preserve"> donc être en mesure </w:t>
      </w:r>
      <w:r w:rsidR="005E764A">
        <w:t>de justifier</w:t>
      </w:r>
      <w:r w:rsidR="00CA38CA">
        <w:t xml:space="preserve"> au besoin</w:t>
      </w:r>
      <w:r w:rsidR="005E764A">
        <w:t xml:space="preserve"> </w:t>
      </w:r>
      <w:r w:rsidR="008366E6">
        <w:t xml:space="preserve">les règles de fléchage des volumes </w:t>
      </w:r>
      <w:r w:rsidR="00747C50">
        <w:t>déclarés</w:t>
      </w:r>
      <w:r w:rsidR="00CA38CA">
        <w:t xml:space="preserve">. </w:t>
      </w:r>
    </w:p>
    <w:p w14:paraId="15E21336" w14:textId="256BB732" w:rsidR="00CF5EBB" w:rsidRPr="00842452" w:rsidRDefault="00CF5EBB" w:rsidP="008B4A2B">
      <w:pPr>
        <w:pStyle w:val="Titre3"/>
        <w:rPr>
          <w:lang w:val="fr-FR"/>
        </w:rPr>
      </w:pPr>
      <w:bookmarkStart w:id="32" w:name="_Toc232094745"/>
      <w:r w:rsidRPr="00842452">
        <w:rPr>
          <w:lang w:val="fr-FR"/>
        </w:rPr>
        <w:t xml:space="preserve">Couverture par des </w:t>
      </w:r>
      <w:r w:rsidR="001E2A32" w:rsidRPr="00842452">
        <w:rPr>
          <w:lang w:val="fr-FR"/>
        </w:rPr>
        <w:t>PPA</w:t>
      </w:r>
      <w:r w:rsidR="000C264C" w:rsidRPr="00842452">
        <w:rPr>
          <w:lang w:val="fr-FR"/>
        </w:rPr>
        <w:t>/BPA</w:t>
      </w:r>
      <w:r w:rsidR="001E2A32" w:rsidRPr="00842452">
        <w:rPr>
          <w:lang w:val="fr-FR"/>
        </w:rPr>
        <w:t xml:space="preserve"> (Power</w:t>
      </w:r>
      <w:r w:rsidR="000C264C" w:rsidRPr="00842452">
        <w:rPr>
          <w:lang w:val="fr-FR"/>
        </w:rPr>
        <w:t>/</w:t>
      </w:r>
      <w:r w:rsidR="00F51330" w:rsidRPr="00842452">
        <w:rPr>
          <w:lang w:val="fr-FR"/>
        </w:rPr>
        <w:t>Biomethane</w:t>
      </w:r>
      <w:r w:rsidR="001E2A32" w:rsidRPr="00842452">
        <w:rPr>
          <w:lang w:val="fr-FR"/>
        </w:rPr>
        <w:t xml:space="preserve"> Purchase Agreement ou contrats d’achat direct d’électricité</w:t>
      </w:r>
      <w:r w:rsidR="004625A3" w:rsidRPr="00842452">
        <w:rPr>
          <w:lang w:val="fr-FR"/>
        </w:rPr>
        <w:t>/bio</w:t>
      </w:r>
      <w:r w:rsidR="00F51330" w:rsidRPr="00842452">
        <w:rPr>
          <w:lang w:val="fr-FR"/>
        </w:rPr>
        <w:t>méthane</w:t>
      </w:r>
      <w:r w:rsidR="001E2A32" w:rsidRPr="00842452">
        <w:rPr>
          <w:lang w:val="fr-FR"/>
        </w:rPr>
        <w:t>)</w:t>
      </w:r>
      <w:bookmarkEnd w:id="32"/>
      <w:r w:rsidR="001E2A32" w:rsidRPr="00842452">
        <w:rPr>
          <w:lang w:val="fr-FR"/>
        </w:rPr>
        <w:t xml:space="preserve"> </w:t>
      </w:r>
    </w:p>
    <w:p w14:paraId="00E79F17" w14:textId="4489BFF7" w:rsidR="00936902" w:rsidRDefault="00936902" w:rsidP="00936902">
      <w:pPr>
        <w:pStyle w:val="Corpsdetexte"/>
      </w:pPr>
    </w:p>
    <w:p w14:paraId="398635B2" w14:textId="1A9B3B1A" w:rsidR="00936902" w:rsidRDefault="00936902" w:rsidP="00936902">
      <w:pPr>
        <w:pStyle w:val="Corpsdetexte"/>
      </w:pPr>
      <w:r>
        <w:t xml:space="preserve">La CRE précise que le traitement des BPA </w:t>
      </w:r>
      <w:r w:rsidR="00BD6F90">
        <w:t>est</w:t>
      </w:r>
      <w:r>
        <w:t xml:space="preserve"> analogue en tout point à celui des PPA. </w:t>
      </w:r>
    </w:p>
    <w:p w14:paraId="6AB2E835" w14:textId="54BF0D2B" w:rsidR="00DB5C44" w:rsidRDefault="00936902" w:rsidP="00DB5C44">
      <w:pPr>
        <w:pStyle w:val="Corpsdetexte"/>
      </w:pPr>
      <w:r>
        <w:t>Elle</w:t>
      </w:r>
      <w:r w:rsidR="00D070F2" w:rsidRPr="000952B3">
        <w:t xml:space="preserve"> </w:t>
      </w:r>
      <w:r w:rsidR="00AC36CC" w:rsidRPr="000952B3">
        <w:t>considère par ailleurs</w:t>
      </w:r>
      <w:r w:rsidR="00DC54A5" w:rsidRPr="000952B3">
        <w:t xml:space="preserve"> que l</w:t>
      </w:r>
      <w:r w:rsidR="00005224" w:rsidRPr="000952B3">
        <w:t xml:space="preserve">e foisonnement de contrats </w:t>
      </w:r>
      <w:r w:rsidR="007370BF" w:rsidRPr="000952B3">
        <w:t xml:space="preserve">auprès de contreparties de petite taille </w:t>
      </w:r>
      <w:r w:rsidR="000B4A59" w:rsidRPr="000952B3">
        <w:t xml:space="preserve">est en soi un levier de réduction du risque de contrepartie. Elle </w:t>
      </w:r>
      <w:r w:rsidR="00415BBD">
        <w:t>exige donc que soient communiquées</w:t>
      </w:r>
      <w:r w:rsidR="00895DB3">
        <w:t xml:space="preserve"> à la maille contrat</w:t>
      </w:r>
      <w:r w:rsidR="006020B3" w:rsidRPr="000952B3">
        <w:t xml:space="preserve"> </w:t>
      </w:r>
      <w:r w:rsidR="00CE3504">
        <w:t>l</w:t>
      </w:r>
      <w:r w:rsidR="006020B3" w:rsidRPr="000952B3">
        <w:t>es sécurisations financières</w:t>
      </w:r>
      <w:r w:rsidR="00F73BBA" w:rsidRPr="000952B3">
        <w:t xml:space="preserve"> des contrats d’achat direct </w:t>
      </w:r>
      <w:r w:rsidR="0012364D" w:rsidRPr="000952B3">
        <w:t xml:space="preserve">et </w:t>
      </w:r>
      <w:r w:rsidR="00FA20AC">
        <w:t>l</w:t>
      </w:r>
      <w:r w:rsidR="0012364D" w:rsidRPr="000952B3">
        <w:t xml:space="preserve">es notations financières </w:t>
      </w:r>
      <w:r w:rsidR="00CE3504">
        <w:lastRenderedPageBreak/>
        <w:t>uniquement dans le cas de</w:t>
      </w:r>
      <w:r w:rsidR="00336207" w:rsidRPr="000952B3">
        <w:t xml:space="preserve"> contrats représentant plus de </w:t>
      </w:r>
      <w:r w:rsidR="00751387" w:rsidRPr="000952B3">
        <w:t xml:space="preserve">1% des </w:t>
      </w:r>
      <w:r w:rsidR="004A00DA" w:rsidRPr="000952B3">
        <w:t>volumes totaux déclarés</w:t>
      </w:r>
      <w:r w:rsidR="00A96D4D" w:rsidRPr="000952B3">
        <w:t>, toutes couvertures confondues</w:t>
      </w:r>
      <w:r w:rsidR="003D6960">
        <w:t xml:space="preserve">, </w:t>
      </w:r>
      <w:r w:rsidR="00B22A90">
        <w:t xml:space="preserve">niveau qui permet </w:t>
      </w:r>
      <w:r w:rsidR="003D6960">
        <w:t xml:space="preserve">un </w:t>
      </w:r>
      <w:r w:rsidR="00B22A90">
        <w:t>équilibre</w:t>
      </w:r>
      <w:r w:rsidR="003D6960">
        <w:t xml:space="preserve"> entre l’exhaustivité des données communiquées et la charge opérationnelle induite sur le fournisseur</w:t>
      </w:r>
      <w:r w:rsidR="00453658" w:rsidRPr="000952B3">
        <w:t>.</w:t>
      </w:r>
      <w:r w:rsidR="00DB5C44" w:rsidRPr="00DB5C44">
        <w:t xml:space="preserve"> </w:t>
      </w:r>
      <w:r w:rsidR="00DB5C44">
        <w:t xml:space="preserve">Par ailleurs, le fournisseur doit indiquer la note financière moyenne de ses contreparties BPA/PPA, et le cas échéant, les sécurisations financières lui étant adossées. </w:t>
      </w:r>
    </w:p>
    <w:p w14:paraId="61D3D5A4" w14:textId="6C831B08" w:rsidR="00555BE6" w:rsidRDefault="00555BE6" w:rsidP="002B2A04">
      <w:pPr>
        <w:pStyle w:val="Corpsdetexte"/>
      </w:pPr>
    </w:p>
    <w:p w14:paraId="02E1EED9" w14:textId="4A4F63C9" w:rsidR="00DA5F7B" w:rsidRDefault="00DA5F7B" w:rsidP="002B2A04">
      <w:pPr>
        <w:pStyle w:val="Corpsdetexte"/>
      </w:pPr>
      <w:r>
        <w:t xml:space="preserve">La CRE </w:t>
      </w:r>
      <w:r w:rsidR="00EB3830">
        <w:t>demande</w:t>
      </w:r>
      <w:r>
        <w:t xml:space="preserve"> au fournisseur </w:t>
      </w:r>
      <w:r w:rsidR="00EB3830">
        <w:t>de s’appuyer sur des prévisions médianes ou moyennes pour sa déclaration</w:t>
      </w:r>
      <w:r w:rsidR="00DB5C44">
        <w:t>, en s’appuyant si besoin sur des stipulations contractuelles du contrat d’achat ou la documentation technique</w:t>
      </w:r>
      <w:r w:rsidR="00741915">
        <w:t xml:space="preserve">. </w:t>
      </w:r>
      <w:r w:rsidR="006B0AE4">
        <w:t xml:space="preserve"> </w:t>
      </w:r>
    </w:p>
    <w:p w14:paraId="4960B180" w14:textId="2B909680" w:rsidR="00936902" w:rsidRDefault="00EC02F8" w:rsidP="00936902">
      <w:pPr>
        <w:pStyle w:val="Corpsdetexte"/>
      </w:pPr>
      <w:r>
        <w:t>L</w:t>
      </w:r>
      <w:r w:rsidR="00077F9A">
        <w:t xml:space="preserve">e fournisseur </w:t>
      </w:r>
      <w:r w:rsidR="002105B5">
        <w:t>doit</w:t>
      </w:r>
      <w:r w:rsidR="00077F9A">
        <w:t xml:space="preserve"> être en mesure de justifier les règles d’affectation des volumes relatifs à ces contrats sur demande de la CRE. </w:t>
      </w:r>
      <w:r w:rsidR="007A6EE1">
        <w:t>Par ailleurs, l</w:t>
      </w:r>
      <w:r w:rsidR="0056015D">
        <w:t xml:space="preserve">e fournisseur précise </w:t>
      </w:r>
      <w:r w:rsidR="0022098F">
        <w:t xml:space="preserve">si </w:t>
      </w:r>
      <w:r w:rsidR="006004E6">
        <w:t xml:space="preserve">certains des contrats BPA/PPA mobilisés dans </w:t>
      </w:r>
      <w:r w:rsidR="00421FBE">
        <w:t xml:space="preserve">sa déclaration </w:t>
      </w:r>
      <w:r w:rsidR="006004E6">
        <w:t>contiennent un</w:t>
      </w:r>
      <w:r w:rsidR="0022098F">
        <w:t xml:space="preserve"> engagement de volume</w:t>
      </w:r>
      <w:r w:rsidR="003E6A2E">
        <w:t>, et le cas échéant leur part dans les volumes de contrat d’achat direct.</w:t>
      </w:r>
      <w:r w:rsidR="0022098F">
        <w:t xml:space="preserve"> </w:t>
      </w:r>
      <w:r w:rsidR="00A26FF7">
        <w:t xml:space="preserve">La CRE </w:t>
      </w:r>
      <w:r w:rsidR="002105B5">
        <w:t>peut</w:t>
      </w:r>
      <w:r w:rsidR="00A26FF7">
        <w:t xml:space="preserve"> </w:t>
      </w:r>
      <w:r w:rsidR="004D76ED">
        <w:t>dans ce cas</w:t>
      </w:r>
      <w:r w:rsidR="00A26FF7">
        <w:t xml:space="preserve"> </w:t>
      </w:r>
      <w:r w:rsidR="00AB4E73">
        <w:t xml:space="preserve">demander </w:t>
      </w:r>
      <w:r w:rsidR="004D76ED">
        <w:t xml:space="preserve">au fournisseur </w:t>
      </w:r>
      <w:r w:rsidR="00AB4E73">
        <w:t>les document</w:t>
      </w:r>
      <w:r w:rsidR="00D35798">
        <w:t xml:space="preserve">s </w:t>
      </w:r>
      <w:r w:rsidR="004D76ED">
        <w:t>définissant un engagement en volume</w:t>
      </w:r>
      <w:r>
        <w:t>. Enfin, le fournisseur</w:t>
      </w:r>
      <w:r w:rsidR="00A26FF7">
        <w:t xml:space="preserve"> </w:t>
      </w:r>
      <w:r w:rsidR="00AC4E19">
        <w:t>précise la capacité installée totale correspondant aux couvertures par contrat d’achat direct incluses dans sa déclaration.</w:t>
      </w:r>
      <w:r w:rsidR="00936902" w:rsidRPr="00936902">
        <w:t xml:space="preserve"> </w:t>
      </w:r>
    </w:p>
    <w:p w14:paraId="56457F1F" w14:textId="7DB7DD42" w:rsidR="00280EC4" w:rsidRDefault="00280EC4" w:rsidP="002B2A04">
      <w:pPr>
        <w:pStyle w:val="Corpsdetexte"/>
      </w:pPr>
    </w:p>
    <w:p w14:paraId="4D9AF74B" w14:textId="72A0C79E" w:rsidR="00036775" w:rsidRPr="00842452" w:rsidRDefault="00AD4D0A" w:rsidP="008B4A2B">
      <w:pPr>
        <w:pStyle w:val="Titre3"/>
        <w:rPr>
          <w:lang w:val="fr-FR"/>
        </w:rPr>
      </w:pPr>
      <w:bookmarkStart w:id="33" w:name="_Toc232094746"/>
      <w:r w:rsidRPr="00842452">
        <w:rPr>
          <w:lang w:val="fr-FR"/>
        </w:rPr>
        <w:t>Autres c</w:t>
      </w:r>
      <w:r w:rsidR="00036775" w:rsidRPr="00842452">
        <w:rPr>
          <w:lang w:val="fr-FR"/>
        </w:rPr>
        <w:t>ouverture</w:t>
      </w:r>
      <w:r w:rsidRPr="00842452">
        <w:rPr>
          <w:lang w:val="fr-FR"/>
        </w:rPr>
        <w:t>s</w:t>
      </w:r>
      <w:r w:rsidR="00036775" w:rsidRPr="00842452">
        <w:rPr>
          <w:lang w:val="fr-FR"/>
        </w:rPr>
        <w:t xml:space="preserve"> </w:t>
      </w:r>
      <w:r w:rsidRPr="00842452">
        <w:rPr>
          <w:lang w:val="fr-FR"/>
        </w:rPr>
        <w:t xml:space="preserve">sur le </w:t>
      </w:r>
      <w:r w:rsidR="00036775" w:rsidRPr="00842452">
        <w:rPr>
          <w:lang w:val="fr-FR"/>
        </w:rPr>
        <w:t>marché de gros</w:t>
      </w:r>
      <w:bookmarkEnd w:id="33"/>
    </w:p>
    <w:p w14:paraId="033CF9A2" w14:textId="351C87F1" w:rsidR="00DB2CA0" w:rsidRDefault="00141F4A" w:rsidP="00DB2CA0">
      <w:pPr>
        <w:pStyle w:val="Corpsdetexte"/>
      </w:pPr>
      <w:r>
        <w:t xml:space="preserve">La CRE </w:t>
      </w:r>
      <w:r w:rsidR="00936902">
        <w:t>distingue</w:t>
      </w:r>
      <w:r>
        <w:t xml:space="preserve"> trois cas de figure</w:t>
      </w:r>
      <w:r w:rsidR="001406AE">
        <w:t>.</w:t>
      </w:r>
      <w:r>
        <w:t xml:space="preserve"> </w:t>
      </w:r>
    </w:p>
    <w:p w14:paraId="586118AA" w14:textId="090E4F44" w:rsidR="0016097D" w:rsidRPr="0032522B" w:rsidRDefault="008239C3" w:rsidP="001A6FC2">
      <w:pPr>
        <w:pStyle w:val="Corpsdetexte"/>
        <w:numPr>
          <w:ilvl w:val="0"/>
          <w:numId w:val="49"/>
        </w:numPr>
        <w:ind w:left="284" w:hanging="284"/>
        <w:rPr>
          <w:u w:val="single"/>
        </w:rPr>
      </w:pPr>
      <w:r w:rsidRPr="0032522B">
        <w:rPr>
          <w:u w:val="single"/>
        </w:rPr>
        <w:t>L’approvisionnement en propre</w:t>
      </w:r>
      <w:r w:rsidR="00E71989" w:rsidRPr="0032522B">
        <w:rPr>
          <w:u w:val="single"/>
        </w:rPr>
        <w:t xml:space="preserve"> par l’entité titulaire de l’autorisation de fourniture : </w:t>
      </w:r>
    </w:p>
    <w:p w14:paraId="1296F88B" w14:textId="388FF6D1" w:rsidR="0001566E" w:rsidRDefault="00E71989" w:rsidP="00283421">
      <w:pPr>
        <w:pStyle w:val="Corpsdetexte"/>
      </w:pPr>
      <w:r>
        <w:t xml:space="preserve">Le cas échéant, la CRE </w:t>
      </w:r>
      <w:r w:rsidR="00E14CE0">
        <w:t>identifie</w:t>
      </w:r>
      <w:r>
        <w:t xml:space="preserve"> 4 niveaux de sécurisation dont </w:t>
      </w:r>
      <w:r w:rsidR="00A139A5">
        <w:t>dépend le risque de contrepartie</w:t>
      </w:r>
      <w:r w:rsidR="0001566E">
        <w:t> :</w:t>
      </w:r>
    </w:p>
    <w:p w14:paraId="64467921" w14:textId="6A17CF9A" w:rsidR="0001566E" w:rsidRDefault="0001566E" w:rsidP="003879D9">
      <w:pPr>
        <w:pStyle w:val="Corpsdetexte"/>
        <w:numPr>
          <w:ilvl w:val="0"/>
          <w:numId w:val="50"/>
        </w:numPr>
        <w:spacing w:after="0"/>
        <w:ind w:left="714" w:hanging="357"/>
      </w:pPr>
      <w:r w:rsidRPr="0001566E">
        <w:t>Transaction faisant intervenir une chambre de compensation</w:t>
      </w:r>
      <w:r w:rsidR="000205DD">
        <w:t> ;</w:t>
      </w:r>
    </w:p>
    <w:p w14:paraId="63FF3119" w14:textId="13F8051E" w:rsidR="0001566E" w:rsidRDefault="0001566E" w:rsidP="003879D9">
      <w:pPr>
        <w:pStyle w:val="Corpsdetexte"/>
        <w:numPr>
          <w:ilvl w:val="0"/>
          <w:numId w:val="50"/>
        </w:numPr>
        <w:spacing w:after="0"/>
        <w:ind w:left="714" w:hanging="357"/>
      </w:pPr>
      <w:r w:rsidRPr="0001566E">
        <w:t xml:space="preserve">Transaction </w:t>
      </w:r>
      <w:r w:rsidR="00335D48">
        <w:t>comprenant une</w:t>
      </w:r>
      <w:r w:rsidRPr="0001566E">
        <w:t xml:space="preserve"> compensation bilatérale</w:t>
      </w:r>
      <w:r w:rsidR="000205DD">
        <w:t> ;</w:t>
      </w:r>
    </w:p>
    <w:p w14:paraId="107FE3CA" w14:textId="2F9942C6" w:rsidR="0001566E" w:rsidRDefault="0001566E" w:rsidP="003879D9">
      <w:pPr>
        <w:pStyle w:val="Corpsdetexte"/>
        <w:numPr>
          <w:ilvl w:val="0"/>
          <w:numId w:val="50"/>
        </w:numPr>
        <w:spacing w:after="0"/>
        <w:ind w:left="714" w:hanging="357"/>
      </w:pPr>
      <w:r w:rsidRPr="0001566E">
        <w:t xml:space="preserve">Transaction </w:t>
      </w:r>
      <w:r w:rsidR="00335D48">
        <w:t xml:space="preserve">sans compensation </w:t>
      </w:r>
      <w:r w:rsidRPr="0001566E">
        <w:t xml:space="preserve">intégrant une </w:t>
      </w:r>
      <w:r w:rsidR="00335D48">
        <w:t>exigence de garantie</w:t>
      </w:r>
      <w:r w:rsidRPr="0001566E">
        <w:t xml:space="preserve"> financière</w:t>
      </w:r>
      <w:r w:rsidR="00335D48">
        <w:t> :</w:t>
      </w:r>
      <w:r w:rsidRPr="0001566E">
        <w:t xml:space="preserve"> le type de garantie devra le cas échéant être précisé</w:t>
      </w:r>
      <w:r w:rsidR="000205DD">
        <w:t> ;</w:t>
      </w:r>
    </w:p>
    <w:p w14:paraId="4A398F64" w14:textId="7C834CA1" w:rsidR="00283421" w:rsidRDefault="0001566E" w:rsidP="003879D9">
      <w:pPr>
        <w:pStyle w:val="Corpsdetexte"/>
        <w:numPr>
          <w:ilvl w:val="0"/>
          <w:numId w:val="50"/>
        </w:numPr>
        <w:spacing w:after="0"/>
        <w:ind w:left="714" w:hanging="357"/>
      </w:pPr>
      <w:r w:rsidRPr="0001566E">
        <w:t>Transaction sans sécurisation financière</w:t>
      </w:r>
      <w:r w:rsidR="000205DD">
        <w:t>.</w:t>
      </w:r>
      <w:r w:rsidRPr="0001566E">
        <w:t xml:space="preserve"> </w:t>
      </w:r>
      <w:r w:rsidR="009D3371">
        <w:t xml:space="preserve"> </w:t>
      </w:r>
    </w:p>
    <w:p w14:paraId="1A6F1B09" w14:textId="2AFAB572" w:rsidR="00DB5C44" w:rsidRDefault="002B3468" w:rsidP="00DB5C44">
      <w:pPr>
        <w:pStyle w:val="Corpsdetexte"/>
        <w:spacing w:before="120" w:after="0"/>
      </w:pPr>
      <w:r>
        <w:t xml:space="preserve">Elle </w:t>
      </w:r>
      <w:r w:rsidR="00DB5C44">
        <w:t>exige</w:t>
      </w:r>
      <w:r w:rsidR="004D3C91">
        <w:t xml:space="preserve"> la communication par le fournisseur de la part relative de ces différentes catégories dans ses couvertures, ainsi qu’une notation financière </w:t>
      </w:r>
      <w:r w:rsidR="004E105D">
        <w:t>moyenne (excluant les volumes compensés via chambre de compensation)</w:t>
      </w:r>
      <w:r w:rsidR="00DB1F4B">
        <w:t>.</w:t>
      </w:r>
      <w:r w:rsidR="00DB5C44" w:rsidRPr="00DB5C44">
        <w:t xml:space="preserve"> </w:t>
      </w:r>
    </w:p>
    <w:p w14:paraId="4B2B8D1C" w14:textId="6F0FB2A6" w:rsidR="00DB5C44" w:rsidRPr="00C268D9" w:rsidRDefault="00DB5C44" w:rsidP="00DB5C44">
      <w:pPr>
        <w:pStyle w:val="Corpsdetexte"/>
        <w:spacing w:before="120" w:after="0"/>
      </w:pPr>
      <w:r w:rsidRPr="00C268D9">
        <w:t xml:space="preserve">La CRE confirme par ailleurs que l’ensemble des produits de couverture </w:t>
      </w:r>
      <w:r>
        <w:t>par le biais de produits dérivés</w:t>
      </w:r>
      <w:r w:rsidRPr="00C268D9">
        <w:t xml:space="preserve"> sont éligibles au contrôle, dans les mêmes conditions que les achats de produits à terme d’électricité ou de gaz sur </w:t>
      </w:r>
      <w:proofErr w:type="gramStart"/>
      <w:r w:rsidRPr="00C268D9">
        <w:t xml:space="preserve">le marché </w:t>
      </w:r>
      <w:r w:rsidRPr="00C268D9">
        <w:rPr>
          <w:i/>
          <w:iCs/>
        </w:rPr>
        <w:t>future</w:t>
      </w:r>
      <w:proofErr w:type="gramEnd"/>
      <w:r w:rsidRPr="00C268D9">
        <w:t xml:space="preserve"> ou </w:t>
      </w:r>
      <w:r w:rsidRPr="00C268D9">
        <w:rPr>
          <w:i/>
          <w:iCs/>
        </w:rPr>
        <w:t>forward</w:t>
      </w:r>
      <w:r w:rsidRPr="00C268D9">
        <w:t xml:space="preserve">. </w:t>
      </w:r>
    </w:p>
    <w:p w14:paraId="60D151BF" w14:textId="2C922990" w:rsidR="00DB5C44" w:rsidRDefault="00DB5C44" w:rsidP="00DB5C44">
      <w:pPr>
        <w:pStyle w:val="Corpsdetexte"/>
        <w:spacing w:before="120" w:after="0"/>
      </w:pPr>
      <w:r w:rsidRPr="00C268D9">
        <w:t>S’agissant des pratiques de « proxy hedging »</w:t>
      </w:r>
      <w:r w:rsidRPr="00C268D9">
        <w:rPr>
          <w:i/>
          <w:iCs/>
        </w:rPr>
        <w:t xml:space="preserve">, </w:t>
      </w:r>
      <w:r w:rsidRPr="00C268D9">
        <w:t xml:space="preserve">le cas du foisonnement intertemporel a été évoqué en section </w:t>
      </w:r>
      <w:r w:rsidRPr="00842452">
        <w:t>3.1.2.</w:t>
      </w:r>
      <w:r w:rsidRPr="00C268D9">
        <w:t xml:space="preserve"> Les pratiques de foisonnement géographique (ex : achat de produits sur le marché allemand plutôt que français) sont également </w:t>
      </w:r>
      <w:r>
        <w:t>prises en considération</w:t>
      </w:r>
      <w:r w:rsidRPr="00C268D9">
        <w:t xml:space="preserve">, le fournisseur </w:t>
      </w:r>
      <w:r>
        <w:t xml:space="preserve">doit alors </w:t>
      </w:r>
      <w:r w:rsidRPr="00C268D9">
        <w:t xml:space="preserve">préciser les volumes totaux concernés. </w:t>
      </w:r>
    </w:p>
    <w:p w14:paraId="578D63DB" w14:textId="5939FFC6" w:rsidR="00B56EBC" w:rsidRDefault="00B56EBC" w:rsidP="00C64C2B">
      <w:pPr>
        <w:pStyle w:val="Corpsdetexte"/>
        <w:spacing w:before="120"/>
      </w:pPr>
    </w:p>
    <w:p w14:paraId="678F95F2" w14:textId="7E513B19" w:rsidR="007B2EF9" w:rsidRPr="0032522B" w:rsidRDefault="0010277F" w:rsidP="00431DD0">
      <w:pPr>
        <w:pStyle w:val="Corpsdetexte"/>
        <w:numPr>
          <w:ilvl w:val="0"/>
          <w:numId w:val="49"/>
        </w:numPr>
        <w:spacing w:after="0"/>
        <w:ind w:left="284"/>
        <w:rPr>
          <w:u w:val="single"/>
        </w:rPr>
      </w:pPr>
      <w:r w:rsidRPr="0032522B">
        <w:rPr>
          <w:u w:val="single"/>
        </w:rPr>
        <w:t>L’appro</w:t>
      </w:r>
      <w:r w:rsidR="00E83619" w:rsidRPr="0032522B">
        <w:rPr>
          <w:u w:val="single"/>
        </w:rPr>
        <w:t xml:space="preserve">visionnement via une société </w:t>
      </w:r>
      <w:r w:rsidR="00EB4721">
        <w:rPr>
          <w:u w:val="single"/>
        </w:rPr>
        <w:t>liée</w:t>
      </w:r>
      <w:r w:rsidR="00E83619" w:rsidRPr="0032522B">
        <w:rPr>
          <w:u w:val="single"/>
        </w:rPr>
        <w:t xml:space="preserve"> du groupe</w:t>
      </w:r>
      <w:r w:rsidR="009D007C" w:rsidRPr="0032522B">
        <w:rPr>
          <w:u w:val="single"/>
        </w:rPr>
        <w:t xml:space="preserve"> : </w:t>
      </w:r>
    </w:p>
    <w:p w14:paraId="045B2105" w14:textId="14E0DAAC" w:rsidR="009D3371" w:rsidRDefault="009D007C" w:rsidP="009F0D3F">
      <w:pPr>
        <w:pStyle w:val="Corpsdetexte"/>
        <w:spacing w:before="120" w:after="0"/>
      </w:pPr>
      <w:r>
        <w:t xml:space="preserve">La CRE </w:t>
      </w:r>
      <w:r w:rsidR="009F2BA5">
        <w:t>demande</w:t>
      </w:r>
      <w:r>
        <w:t xml:space="preserve"> dan</w:t>
      </w:r>
      <w:r w:rsidR="006F40AE">
        <w:t xml:space="preserve">s ce cas que le fournisseur </w:t>
      </w:r>
      <w:r w:rsidR="0062432D">
        <w:t xml:space="preserve">décrive succinctement </w:t>
      </w:r>
      <w:r w:rsidR="00A563F9">
        <w:t xml:space="preserve">la </w:t>
      </w:r>
      <w:proofErr w:type="gramStart"/>
      <w:r w:rsidR="00A563F9">
        <w:t xml:space="preserve">société </w:t>
      </w:r>
      <w:r w:rsidR="009F2BA5">
        <w:t xml:space="preserve"> </w:t>
      </w:r>
      <w:r w:rsidR="00A563F9">
        <w:t>concernée</w:t>
      </w:r>
      <w:proofErr w:type="gramEnd"/>
      <w:r w:rsidR="00825825">
        <w:t>, en précisant en particulier</w:t>
      </w:r>
      <w:r w:rsidR="00666C34">
        <w:t> :</w:t>
      </w:r>
      <w:r w:rsidR="0016097D">
        <w:t xml:space="preserve"> </w:t>
      </w:r>
    </w:p>
    <w:p w14:paraId="099CEC52" w14:textId="21FC0086" w:rsidR="00CA4242" w:rsidRDefault="00825825" w:rsidP="00CA4242">
      <w:pPr>
        <w:pStyle w:val="Corpsdetexte"/>
        <w:numPr>
          <w:ilvl w:val="0"/>
          <w:numId w:val="51"/>
        </w:numPr>
        <w:spacing w:after="0"/>
      </w:pPr>
      <w:r>
        <w:t>Si les activités de cette société sont régulées</w:t>
      </w:r>
      <w:r w:rsidR="0093526C">
        <w:t xml:space="preserve"> </w:t>
      </w:r>
      <w:r w:rsidR="009E2F17">
        <w:t>par une autre instance (</w:t>
      </w:r>
      <w:r w:rsidR="0093526C">
        <w:t>par exemple financière)</w:t>
      </w:r>
      <w:r>
        <w:t> ;</w:t>
      </w:r>
    </w:p>
    <w:p w14:paraId="14814708" w14:textId="5BA8101F" w:rsidR="0093526C" w:rsidRDefault="00825825" w:rsidP="00CA4242">
      <w:pPr>
        <w:pStyle w:val="Corpsdetexte"/>
        <w:numPr>
          <w:ilvl w:val="0"/>
          <w:numId w:val="51"/>
        </w:numPr>
        <w:spacing w:after="0"/>
      </w:pPr>
      <w:r>
        <w:t>S</w:t>
      </w:r>
      <w:r w:rsidR="006B2642">
        <w:t>’il existe ou non</w:t>
      </w:r>
      <w:r>
        <w:t xml:space="preserve"> des</w:t>
      </w:r>
      <w:r w:rsidR="00B63A25">
        <w:t xml:space="preserve"> procédures de gestion de risques, un mandat de gestion</w:t>
      </w:r>
      <w:r w:rsidR="005F6CCF">
        <w:t>, une limite d’exposition aux risques applicable à l’entité en charge de l’approvisionnement</w:t>
      </w:r>
      <w:r>
        <w:t> ;</w:t>
      </w:r>
    </w:p>
    <w:p w14:paraId="62F5F594" w14:textId="0BAB8C93" w:rsidR="00825825" w:rsidRDefault="006B2642" w:rsidP="00CA4242">
      <w:pPr>
        <w:pStyle w:val="Corpsdetexte"/>
        <w:numPr>
          <w:ilvl w:val="0"/>
          <w:numId w:val="51"/>
        </w:numPr>
        <w:spacing w:after="0"/>
      </w:pPr>
      <w:r>
        <w:t>Si la conformité aux règles de fonctionnement interne fait l’objet ou non d’un audit de conformité régulier ;</w:t>
      </w:r>
    </w:p>
    <w:p w14:paraId="218DEE25" w14:textId="1131A226" w:rsidR="009F2BA5" w:rsidRDefault="006B2642" w:rsidP="00DB5C44">
      <w:pPr>
        <w:pStyle w:val="Corpsdetexte"/>
        <w:numPr>
          <w:ilvl w:val="0"/>
          <w:numId w:val="51"/>
        </w:numPr>
        <w:spacing w:after="0"/>
      </w:pPr>
      <w:r>
        <w:t>Si le groupe distingue comptablement les charges et recettes entre l’activité de fourniture et l’activité de trading</w:t>
      </w:r>
      <w:r w:rsidR="00666C34">
        <w:t>.</w:t>
      </w:r>
      <w:r w:rsidR="009F2BA5" w:rsidRPr="009F2BA5">
        <w:t xml:space="preserve"> </w:t>
      </w:r>
    </w:p>
    <w:p w14:paraId="79410C42" w14:textId="54F93FCE" w:rsidR="00666C34" w:rsidRPr="0032522B" w:rsidRDefault="00666C34" w:rsidP="00431DD0">
      <w:pPr>
        <w:pStyle w:val="Corpsdetexte"/>
        <w:numPr>
          <w:ilvl w:val="0"/>
          <w:numId w:val="49"/>
        </w:numPr>
        <w:spacing w:before="120" w:after="0"/>
        <w:ind w:left="284" w:hanging="357"/>
        <w:rPr>
          <w:u w:val="single"/>
        </w:rPr>
      </w:pPr>
      <w:r w:rsidRPr="0032522B">
        <w:rPr>
          <w:u w:val="single"/>
        </w:rPr>
        <w:t>L’approvisionnement via une société tierce</w:t>
      </w:r>
      <w:r w:rsidR="00D72E22">
        <w:rPr>
          <w:u w:val="single"/>
        </w:rPr>
        <w:t> :</w:t>
      </w:r>
    </w:p>
    <w:p w14:paraId="6FD4B518" w14:textId="35E3D9C8" w:rsidR="00477B70" w:rsidRPr="00DA67AD" w:rsidRDefault="00DD30E5" w:rsidP="004B3CA6">
      <w:pPr>
        <w:pStyle w:val="Corpsdetexte"/>
        <w:spacing w:before="120" w:after="0"/>
      </w:pPr>
      <w:r>
        <w:t xml:space="preserve">La CRE </w:t>
      </w:r>
      <w:r w:rsidR="00936902">
        <w:t xml:space="preserve">demande </w:t>
      </w:r>
      <w:r>
        <w:t xml:space="preserve">que la contrepartie soit précisée, </w:t>
      </w:r>
      <w:r w:rsidR="00480AB7">
        <w:t>ainsi que l’existence d’une analyse de risq</w:t>
      </w:r>
      <w:r w:rsidR="009F0D3F">
        <w:t xml:space="preserve">ue de contrepartie. </w:t>
      </w:r>
    </w:p>
    <w:p w14:paraId="44FA8E92" w14:textId="273DBBC3" w:rsidR="009370DB" w:rsidRDefault="009370DB" w:rsidP="004B3CA6">
      <w:pPr>
        <w:pStyle w:val="Corpsdetexte"/>
        <w:spacing w:before="120" w:after="0"/>
      </w:pPr>
      <w:r>
        <w:t>Le tableau ci-dess</w:t>
      </w:r>
      <w:r w:rsidR="00DB717F">
        <w:t>o</w:t>
      </w:r>
      <w:r>
        <w:t xml:space="preserve">us </w:t>
      </w:r>
      <w:r w:rsidR="004A586D">
        <w:t>liste l’ensemble des conditions d’éligibilité, par produit de couverture, finalement retenues par la CRE pour le critère en couverture</w:t>
      </w:r>
      <w:r w:rsidR="60981894">
        <w:t xml:space="preserve"> :</w:t>
      </w:r>
    </w:p>
    <w:p w14:paraId="38E62ED2" w14:textId="77777777" w:rsidR="00781A21" w:rsidRDefault="00781A21" w:rsidP="004B3CA6">
      <w:pPr>
        <w:pStyle w:val="Corpsdetexte"/>
        <w:spacing w:before="120" w:after="0"/>
      </w:pPr>
    </w:p>
    <w:tbl>
      <w:tblPr>
        <w:tblW w:w="9923" w:type="dxa"/>
        <w:tblCellMar>
          <w:left w:w="0" w:type="dxa"/>
          <w:right w:w="0" w:type="dxa"/>
        </w:tblCellMar>
        <w:tblLook w:val="0420" w:firstRow="1" w:lastRow="0" w:firstColumn="0" w:lastColumn="0" w:noHBand="0" w:noVBand="1"/>
      </w:tblPr>
      <w:tblGrid>
        <w:gridCol w:w="2411"/>
        <w:gridCol w:w="7512"/>
      </w:tblGrid>
      <w:tr w:rsidR="00E438A4" w:rsidRPr="00A56DE9" w14:paraId="45D206AA" w14:textId="77777777" w:rsidTr="00431DD0">
        <w:trPr>
          <w:trHeight w:val="459"/>
        </w:trPr>
        <w:tc>
          <w:tcPr>
            <w:tcW w:w="2411" w:type="dxa"/>
            <w:tcBorders>
              <w:top w:val="nil"/>
              <w:left w:val="nil"/>
              <w:bottom w:val="single" w:sz="8" w:space="0" w:color="161616" w:themeColor="text1"/>
              <w:right w:val="single" w:sz="8" w:space="0" w:color="161616" w:themeColor="text1"/>
            </w:tcBorders>
            <w:tcMar>
              <w:top w:w="72" w:type="dxa"/>
              <w:left w:w="144" w:type="dxa"/>
              <w:bottom w:w="72" w:type="dxa"/>
              <w:right w:w="144" w:type="dxa"/>
            </w:tcMar>
            <w:hideMark/>
          </w:tcPr>
          <w:p w14:paraId="486E3B77" w14:textId="77777777" w:rsidR="00A56DE9" w:rsidRPr="00A56DE9" w:rsidRDefault="00A56DE9" w:rsidP="00A56DE9">
            <w:pPr>
              <w:pStyle w:val="Corpsdetexte"/>
              <w:spacing w:before="120"/>
            </w:pPr>
          </w:p>
        </w:tc>
        <w:tc>
          <w:tcPr>
            <w:tcW w:w="7512" w:type="dxa"/>
            <w:tcBorders>
              <w:top w:val="single" w:sz="8" w:space="0" w:color="161616" w:themeColor="text1"/>
              <w:left w:val="single" w:sz="8" w:space="0" w:color="161616" w:themeColor="text1"/>
              <w:bottom w:val="single" w:sz="8" w:space="0" w:color="161616" w:themeColor="text1"/>
              <w:right w:val="single" w:sz="8" w:space="0" w:color="161616" w:themeColor="text1"/>
            </w:tcBorders>
            <w:shd w:val="clear" w:color="auto" w:fill="285F83" w:themeFill="text2"/>
            <w:tcMar>
              <w:top w:w="72" w:type="dxa"/>
              <w:left w:w="144" w:type="dxa"/>
              <w:bottom w:w="72" w:type="dxa"/>
              <w:right w:w="144" w:type="dxa"/>
            </w:tcMar>
            <w:hideMark/>
          </w:tcPr>
          <w:p w14:paraId="47EC0D96" w14:textId="4B46A78D" w:rsidR="00A56DE9" w:rsidRPr="00A56DE9" w:rsidRDefault="00A56DE9" w:rsidP="00810F0B">
            <w:pPr>
              <w:pStyle w:val="Corpsdetexte"/>
              <w:spacing w:before="120"/>
              <w:jc w:val="center"/>
              <w:rPr>
                <w:color w:val="FFFFFF" w:themeColor="background1"/>
              </w:rPr>
            </w:pPr>
            <w:r w:rsidRPr="00A56DE9">
              <w:rPr>
                <w:b/>
                <w:bCs/>
                <w:color w:val="FFFFFF" w:themeColor="background1"/>
              </w:rPr>
              <w:t>Conditions</w:t>
            </w:r>
            <w:r w:rsidR="00586A3B">
              <w:rPr>
                <w:b/>
                <w:bCs/>
                <w:color w:val="FFFFFF" w:themeColor="background1"/>
              </w:rPr>
              <w:t xml:space="preserve"> d’éligibilités</w:t>
            </w:r>
          </w:p>
        </w:tc>
      </w:tr>
      <w:tr w:rsidR="003A7713" w:rsidRPr="00A56DE9" w14:paraId="348DE067" w14:textId="77777777" w:rsidTr="00431DD0">
        <w:trPr>
          <w:trHeight w:val="1266"/>
        </w:trPr>
        <w:tc>
          <w:tcPr>
            <w:tcW w:w="2411" w:type="dxa"/>
            <w:tcBorders>
              <w:top w:val="single" w:sz="8" w:space="0" w:color="161616" w:themeColor="text1"/>
              <w:left w:val="single" w:sz="8" w:space="0" w:color="161616" w:themeColor="text1"/>
              <w:bottom w:val="single" w:sz="8" w:space="0" w:color="161616" w:themeColor="text1"/>
              <w:right w:val="single" w:sz="8" w:space="0" w:color="161616" w:themeColor="text1"/>
            </w:tcBorders>
            <w:shd w:val="clear" w:color="auto" w:fill="285F83" w:themeFill="text2"/>
            <w:tcMar>
              <w:top w:w="72" w:type="dxa"/>
              <w:left w:w="144" w:type="dxa"/>
              <w:bottom w:w="72" w:type="dxa"/>
              <w:right w:w="144" w:type="dxa"/>
            </w:tcMar>
            <w:vAlign w:val="center"/>
            <w:hideMark/>
          </w:tcPr>
          <w:p w14:paraId="25567310" w14:textId="438FE746" w:rsidR="00A56DE9" w:rsidRPr="00A56DE9" w:rsidRDefault="00A56DE9" w:rsidP="00A56DE9">
            <w:pPr>
              <w:pStyle w:val="Corpsdetexte"/>
              <w:spacing w:before="120"/>
              <w:rPr>
                <w:color w:val="FFFFFF" w:themeColor="background1"/>
              </w:rPr>
            </w:pPr>
            <w:r w:rsidRPr="00A56DE9">
              <w:rPr>
                <w:b/>
                <w:bCs/>
                <w:color w:val="FFFFFF" w:themeColor="background1"/>
              </w:rPr>
              <w:t>Actifs physiques en interne</w:t>
            </w:r>
          </w:p>
        </w:tc>
        <w:tc>
          <w:tcPr>
            <w:tcW w:w="7512" w:type="dxa"/>
            <w:tcBorders>
              <w:top w:val="single" w:sz="8" w:space="0" w:color="161616" w:themeColor="text1"/>
              <w:left w:val="single" w:sz="8" w:space="0" w:color="161616" w:themeColor="text1"/>
              <w:bottom w:val="single" w:sz="8" w:space="0" w:color="161616" w:themeColor="text1"/>
              <w:right w:val="single" w:sz="8" w:space="0" w:color="161616" w:themeColor="text1"/>
            </w:tcBorders>
            <w:tcMar>
              <w:top w:w="72" w:type="dxa"/>
              <w:left w:w="144" w:type="dxa"/>
              <w:bottom w:w="72" w:type="dxa"/>
              <w:right w:w="144" w:type="dxa"/>
            </w:tcMar>
            <w:vAlign w:val="center"/>
            <w:hideMark/>
          </w:tcPr>
          <w:p w14:paraId="346E38EA" w14:textId="0658E343" w:rsidR="007D79E9" w:rsidRDefault="005E581E" w:rsidP="00A56DE9">
            <w:pPr>
              <w:pStyle w:val="Corpsdetexte"/>
              <w:numPr>
                <w:ilvl w:val="0"/>
                <w:numId w:val="52"/>
              </w:numPr>
              <w:spacing w:before="120"/>
            </w:pPr>
            <w:r>
              <w:rPr>
                <w:i/>
                <w:iCs/>
              </w:rPr>
              <w:t xml:space="preserve">Electricité : </w:t>
            </w:r>
            <w:r w:rsidR="00347373">
              <w:t xml:space="preserve">Le </w:t>
            </w:r>
            <w:r w:rsidR="007D79E9">
              <w:t>scénario de productible retenu</w:t>
            </w:r>
            <w:r w:rsidR="00D542B6">
              <w:t xml:space="preserve"> pour les déclarations</w:t>
            </w:r>
            <w:r w:rsidR="00120F4B">
              <w:t xml:space="preserve"> devra correspondre à la prévision </w:t>
            </w:r>
            <w:r w:rsidR="0042420E">
              <w:t>médiane</w:t>
            </w:r>
            <w:r w:rsidR="00120F4B">
              <w:t xml:space="preserve"> ou moyenne de productible</w:t>
            </w:r>
            <w:r w:rsidR="00607344">
              <w:t> ;</w:t>
            </w:r>
          </w:p>
          <w:p w14:paraId="0088F559" w14:textId="7509347D" w:rsidR="00A56DE9" w:rsidRPr="00A56DE9" w:rsidRDefault="00A56DE9" w:rsidP="00A56DE9">
            <w:pPr>
              <w:pStyle w:val="Corpsdetexte"/>
              <w:numPr>
                <w:ilvl w:val="0"/>
                <w:numId w:val="52"/>
              </w:numPr>
              <w:spacing w:before="120"/>
            </w:pPr>
            <w:r w:rsidRPr="00A56DE9">
              <w:t>Capacité à justifier les règles d’affectation des volumes</w:t>
            </w:r>
            <w:r w:rsidR="006F13B9">
              <w:t xml:space="preserve"> sur demande</w:t>
            </w:r>
            <w:r w:rsidR="0062611C">
              <w:t xml:space="preserve"> de la CRE</w:t>
            </w:r>
            <w:r w:rsidR="00607344">
              <w:t> ;</w:t>
            </w:r>
          </w:p>
          <w:p w14:paraId="7909D770" w14:textId="10F8368C" w:rsidR="007459D1" w:rsidRDefault="005E581E" w:rsidP="00A56DE9">
            <w:pPr>
              <w:pStyle w:val="Corpsdetexte"/>
              <w:numPr>
                <w:ilvl w:val="0"/>
                <w:numId w:val="52"/>
              </w:numPr>
              <w:spacing w:before="120"/>
            </w:pPr>
            <w:r>
              <w:rPr>
                <w:i/>
                <w:iCs/>
              </w:rPr>
              <w:t xml:space="preserve">Electricité : </w:t>
            </w:r>
            <w:r w:rsidR="00F91D60">
              <w:t>S’agissant du</w:t>
            </w:r>
            <w:r w:rsidR="00BE5B90">
              <w:t xml:space="preserve"> </w:t>
            </w:r>
            <w:r w:rsidR="00D22D90">
              <w:t>« volume équivalent prix fixe »</w:t>
            </w:r>
            <w:r w:rsidR="00F91D60">
              <w:t> :</w:t>
            </w:r>
          </w:p>
          <w:p w14:paraId="2D5D5702" w14:textId="1203769E" w:rsidR="007459D1" w:rsidRDefault="00F91D60" w:rsidP="007459D1">
            <w:pPr>
              <w:pStyle w:val="Corpsdetexte"/>
              <w:numPr>
                <w:ilvl w:val="1"/>
                <w:numId w:val="52"/>
              </w:numPr>
              <w:spacing w:before="120"/>
            </w:pPr>
            <w:r>
              <w:t>Il devra ê</w:t>
            </w:r>
            <w:r w:rsidR="0067514E">
              <w:t xml:space="preserve">tre justifié par </w:t>
            </w:r>
            <w:r w:rsidR="00FF1DBD">
              <w:t>le détail agrégé du mix de production</w:t>
            </w:r>
            <w:r w:rsidR="007459D1">
              <w:t> ;</w:t>
            </w:r>
          </w:p>
          <w:p w14:paraId="08D6D3F4" w14:textId="062ADBFF" w:rsidR="00A56DE9" w:rsidRPr="00A56DE9" w:rsidRDefault="00800C52" w:rsidP="007459D1">
            <w:pPr>
              <w:pStyle w:val="Corpsdetexte"/>
              <w:numPr>
                <w:ilvl w:val="1"/>
                <w:numId w:val="52"/>
              </w:numPr>
              <w:spacing w:before="120"/>
            </w:pPr>
            <w:r>
              <w:t xml:space="preserve">L’ensemble des sous-jacents pour les actifs thermiques exposés en prix </w:t>
            </w:r>
            <w:r w:rsidR="008919AA">
              <w:t xml:space="preserve">(intrants, certificats d’émission) </w:t>
            </w:r>
            <w:r w:rsidR="00956A57">
              <w:t>devra</w:t>
            </w:r>
            <w:r>
              <w:t xml:space="preserve"> être couvert </w:t>
            </w:r>
            <w:r w:rsidR="000D34C6">
              <w:t xml:space="preserve">sur le marché </w:t>
            </w:r>
            <w:r w:rsidR="002B3B0F">
              <w:t xml:space="preserve">Le fournisseur devra être en </w:t>
            </w:r>
            <w:r w:rsidR="001F1E61">
              <w:t xml:space="preserve">mesure d’en justifier </w:t>
            </w:r>
            <w:r w:rsidR="00605183">
              <w:t>sur demande</w:t>
            </w:r>
            <w:r w:rsidR="001F1E61">
              <w:t xml:space="preserve"> de la CRE.</w:t>
            </w:r>
            <w:r w:rsidR="00956A57">
              <w:t xml:space="preserve"> </w:t>
            </w:r>
          </w:p>
        </w:tc>
      </w:tr>
      <w:tr w:rsidR="00AB38C8" w:rsidRPr="00A56DE9" w14:paraId="38AD4828" w14:textId="77777777" w:rsidTr="00431DD0">
        <w:trPr>
          <w:trHeight w:val="1051"/>
        </w:trPr>
        <w:tc>
          <w:tcPr>
            <w:tcW w:w="2411" w:type="dxa"/>
            <w:tcBorders>
              <w:top w:val="single" w:sz="8" w:space="0" w:color="161616" w:themeColor="text1"/>
              <w:left w:val="single" w:sz="8" w:space="0" w:color="161616" w:themeColor="text1"/>
              <w:bottom w:val="single" w:sz="8" w:space="0" w:color="161616" w:themeColor="text1"/>
              <w:right w:val="single" w:sz="8" w:space="0" w:color="161616" w:themeColor="text1"/>
            </w:tcBorders>
            <w:shd w:val="clear" w:color="auto" w:fill="285F83" w:themeFill="text2"/>
            <w:tcMar>
              <w:top w:w="72" w:type="dxa"/>
              <w:left w:w="144" w:type="dxa"/>
              <w:bottom w:w="72" w:type="dxa"/>
              <w:right w:w="144" w:type="dxa"/>
            </w:tcMar>
            <w:vAlign w:val="center"/>
          </w:tcPr>
          <w:p w14:paraId="41E6A210" w14:textId="7A273000" w:rsidR="00AB38C8" w:rsidRPr="00A56DE9" w:rsidRDefault="00AB38C8" w:rsidP="00A56DE9">
            <w:pPr>
              <w:pStyle w:val="Corpsdetexte"/>
              <w:spacing w:before="120"/>
              <w:rPr>
                <w:color w:val="FFFFFF" w:themeColor="background1"/>
              </w:rPr>
            </w:pPr>
            <w:r w:rsidRPr="00A56DE9">
              <w:rPr>
                <w:b/>
                <w:bCs/>
                <w:color w:val="FFFFFF" w:themeColor="background1"/>
              </w:rPr>
              <w:t>PPA/BPA</w:t>
            </w:r>
          </w:p>
        </w:tc>
        <w:tc>
          <w:tcPr>
            <w:tcW w:w="7512" w:type="dxa"/>
            <w:tcBorders>
              <w:top w:val="single" w:sz="8" w:space="0" w:color="161616" w:themeColor="text1"/>
              <w:left w:val="single" w:sz="8" w:space="0" w:color="161616" w:themeColor="text1"/>
              <w:bottom w:val="single" w:sz="8" w:space="0" w:color="161616" w:themeColor="text1"/>
              <w:right w:val="single" w:sz="8" w:space="0" w:color="161616" w:themeColor="text1"/>
            </w:tcBorders>
            <w:tcMar>
              <w:top w:w="72" w:type="dxa"/>
              <w:left w:w="144" w:type="dxa"/>
              <w:bottom w:w="72" w:type="dxa"/>
              <w:right w:w="144" w:type="dxa"/>
            </w:tcMar>
            <w:vAlign w:val="center"/>
          </w:tcPr>
          <w:p w14:paraId="4C6966C3" w14:textId="1D514332" w:rsidR="00A56DE9" w:rsidRPr="00A56DE9" w:rsidRDefault="00AB38C8" w:rsidP="008E7D38">
            <w:pPr>
              <w:pStyle w:val="Corpsdetexte"/>
              <w:numPr>
                <w:ilvl w:val="0"/>
                <w:numId w:val="54"/>
              </w:numPr>
              <w:spacing w:before="120"/>
            </w:pPr>
            <w:r>
              <w:rPr>
                <w:i/>
                <w:iCs/>
              </w:rPr>
              <w:t xml:space="preserve">Contrats </w:t>
            </w:r>
            <w:r w:rsidR="00084303">
              <w:rPr>
                <w:i/>
                <w:iCs/>
              </w:rPr>
              <w:t xml:space="preserve">PPA </w:t>
            </w:r>
            <w:r>
              <w:rPr>
                <w:i/>
                <w:iCs/>
              </w:rPr>
              <w:t xml:space="preserve">Pay-as-produced : </w:t>
            </w:r>
            <w:r w:rsidR="00151B7F">
              <w:t xml:space="preserve">Communication de la capacité installée correspondante. </w:t>
            </w:r>
            <w:r w:rsidR="0042420E">
              <w:t>Le scénario de productible retenu pour les déclarations devra correspondre à la prévision médiane ou moyenne de productible ;</w:t>
            </w:r>
            <w:r w:rsidR="00607344">
              <w:t> </w:t>
            </w:r>
          </w:p>
          <w:p w14:paraId="02981CF0" w14:textId="1C02D16B" w:rsidR="00A56DE9" w:rsidRPr="00A56DE9" w:rsidRDefault="00A56DE9" w:rsidP="008E7D38">
            <w:pPr>
              <w:pStyle w:val="Corpsdetexte"/>
              <w:numPr>
                <w:ilvl w:val="0"/>
                <w:numId w:val="54"/>
              </w:numPr>
              <w:spacing w:before="120"/>
            </w:pPr>
            <w:r w:rsidRPr="00A56DE9">
              <w:t>Capacité à justifier les règles d’affectation des volumes</w:t>
            </w:r>
            <w:r w:rsidR="00AB38C8">
              <w:t xml:space="preserve"> sur demande</w:t>
            </w:r>
            <w:r w:rsidR="0062611C">
              <w:t xml:space="preserve"> de la CRE</w:t>
            </w:r>
            <w:r w:rsidR="00607344">
              <w:t> ;</w:t>
            </w:r>
          </w:p>
          <w:p w14:paraId="209ACB5A" w14:textId="131900AF" w:rsidR="00AB38C8" w:rsidRDefault="00A56DE9" w:rsidP="00637C4D">
            <w:pPr>
              <w:pStyle w:val="Corpsdetexte"/>
              <w:numPr>
                <w:ilvl w:val="0"/>
                <w:numId w:val="54"/>
              </w:numPr>
              <w:spacing w:before="120"/>
            </w:pPr>
            <w:r w:rsidRPr="00A56DE9">
              <w:rPr>
                <w:i/>
                <w:iCs/>
              </w:rPr>
              <w:t xml:space="preserve">Si </w:t>
            </w:r>
            <w:r w:rsidR="00AB38C8" w:rsidRPr="00637C4D">
              <w:rPr>
                <w:i/>
                <w:iCs/>
              </w:rPr>
              <w:t>applicable</w:t>
            </w:r>
            <w:r w:rsidR="00AB38C8">
              <w:rPr>
                <w:i/>
                <w:iCs/>
              </w:rPr>
              <w:t xml:space="preserve"> : </w:t>
            </w:r>
            <w:r w:rsidR="00AB38C8">
              <w:t xml:space="preserve">partage des </w:t>
            </w:r>
            <w:r w:rsidRPr="00A56DE9">
              <w:t>documents définissant un engagement en volume</w:t>
            </w:r>
            <w:r w:rsidR="009E61BD">
              <w:t xml:space="preserve"> sur demande de la CRE</w:t>
            </w:r>
            <w:r w:rsidR="00C83A1D">
              <w:t>, et part de ces engagements dans les volumes déclarés</w:t>
            </w:r>
            <w:r w:rsidR="00607344">
              <w:t> ;</w:t>
            </w:r>
          </w:p>
          <w:p w14:paraId="5226F86B" w14:textId="3E69D0F7" w:rsidR="003A0EEB" w:rsidRDefault="00F314FD" w:rsidP="00A56DE9">
            <w:pPr>
              <w:pStyle w:val="Corpsdetexte"/>
              <w:numPr>
                <w:ilvl w:val="0"/>
                <w:numId w:val="53"/>
              </w:numPr>
              <w:spacing w:before="120"/>
            </w:pPr>
            <w:r>
              <w:t>Description des modalité</w:t>
            </w:r>
            <w:r w:rsidR="004F023C">
              <w:t>s globales de sécurisation financière</w:t>
            </w:r>
            <w:r w:rsidR="003C5AF7">
              <w:t xml:space="preserve"> des contrats</w:t>
            </w:r>
            <w:r w:rsidR="00607344">
              <w:t> ;</w:t>
            </w:r>
          </w:p>
          <w:p w14:paraId="30B2066D" w14:textId="6DB745EE" w:rsidR="00A56DE9" w:rsidRPr="00A56DE9" w:rsidRDefault="003A0EEB" w:rsidP="00A56DE9">
            <w:pPr>
              <w:pStyle w:val="Corpsdetexte"/>
              <w:numPr>
                <w:ilvl w:val="0"/>
                <w:numId w:val="53"/>
              </w:numPr>
              <w:spacing w:before="120"/>
            </w:pPr>
            <w:r>
              <w:rPr>
                <w:i/>
                <w:iCs/>
              </w:rPr>
              <w:t>C</w:t>
            </w:r>
            <w:r w:rsidRPr="00B310AB">
              <w:rPr>
                <w:i/>
              </w:rPr>
              <w:t>ontrat représentant plus de 1% des volumes totaux déclarés</w:t>
            </w:r>
            <w:r>
              <w:rPr>
                <w:i/>
                <w:iCs/>
              </w:rPr>
              <w:t xml:space="preserve"> : </w:t>
            </w:r>
            <w:r>
              <w:t>C</w:t>
            </w:r>
            <w:r w:rsidR="004F023C">
              <w:t>ommunication</w:t>
            </w:r>
            <w:r w:rsidR="005C632A">
              <w:t>, pour chaque contrat,</w:t>
            </w:r>
            <w:r w:rsidR="004F023C">
              <w:t xml:space="preserve"> des sécurisations financières </w:t>
            </w:r>
            <w:r w:rsidR="00B9624F">
              <w:t>et notation financière</w:t>
            </w:r>
            <w:r>
              <w:t xml:space="preserve"> de la contrepartie</w:t>
            </w:r>
            <w:r w:rsidR="00B9624F">
              <w:t xml:space="preserve"> </w:t>
            </w:r>
            <w:r>
              <w:t xml:space="preserve">correspondante. </w:t>
            </w:r>
          </w:p>
        </w:tc>
      </w:tr>
      <w:tr w:rsidR="00AB38C8" w:rsidRPr="00A56DE9" w14:paraId="10D974B8" w14:textId="77777777" w:rsidTr="00431DD0">
        <w:trPr>
          <w:trHeight w:val="1051"/>
        </w:trPr>
        <w:tc>
          <w:tcPr>
            <w:tcW w:w="2411" w:type="dxa"/>
            <w:tcBorders>
              <w:top w:val="single" w:sz="8" w:space="0" w:color="161616" w:themeColor="text1"/>
              <w:left w:val="single" w:sz="8" w:space="0" w:color="161616" w:themeColor="text1"/>
              <w:bottom w:val="single" w:sz="8" w:space="0" w:color="161616" w:themeColor="text1"/>
              <w:right w:val="single" w:sz="8" w:space="0" w:color="161616" w:themeColor="text1"/>
            </w:tcBorders>
            <w:shd w:val="clear" w:color="auto" w:fill="285F83" w:themeFill="text2"/>
            <w:tcMar>
              <w:top w:w="72" w:type="dxa"/>
              <w:left w:w="144" w:type="dxa"/>
              <w:bottom w:w="72" w:type="dxa"/>
              <w:right w:w="144" w:type="dxa"/>
            </w:tcMar>
            <w:vAlign w:val="center"/>
            <w:hideMark/>
          </w:tcPr>
          <w:p w14:paraId="6AB60816" w14:textId="32DF8EB3" w:rsidR="00AB38C8" w:rsidRPr="00A56DE9" w:rsidRDefault="000D010E" w:rsidP="00A56DE9">
            <w:pPr>
              <w:pStyle w:val="Corpsdetexte"/>
              <w:spacing w:before="120"/>
              <w:rPr>
                <w:color w:val="FFFFFF" w:themeColor="background1"/>
              </w:rPr>
            </w:pPr>
            <w:r>
              <w:rPr>
                <w:b/>
                <w:bCs/>
                <w:color w:val="FFFFFF" w:themeColor="background1"/>
              </w:rPr>
              <w:t>Autres couverture</w:t>
            </w:r>
            <w:r w:rsidR="00463A1D">
              <w:rPr>
                <w:b/>
                <w:bCs/>
                <w:color w:val="FFFFFF" w:themeColor="background1"/>
              </w:rPr>
              <w:t>s</w:t>
            </w:r>
            <w:r w:rsidR="00AB38C8" w:rsidRPr="00A56DE9">
              <w:rPr>
                <w:b/>
                <w:bCs/>
                <w:color w:val="FFFFFF" w:themeColor="background1"/>
              </w:rPr>
              <w:t xml:space="preserve"> marché </w:t>
            </w:r>
            <w:r>
              <w:rPr>
                <w:b/>
                <w:bCs/>
                <w:color w:val="FFFFFF" w:themeColor="background1"/>
              </w:rPr>
              <w:t>en propre</w:t>
            </w:r>
          </w:p>
        </w:tc>
        <w:tc>
          <w:tcPr>
            <w:tcW w:w="7512" w:type="dxa"/>
            <w:tcBorders>
              <w:top w:val="single" w:sz="8" w:space="0" w:color="161616" w:themeColor="text1"/>
              <w:left w:val="single" w:sz="8" w:space="0" w:color="161616" w:themeColor="text1"/>
              <w:bottom w:val="single" w:sz="8" w:space="0" w:color="161616" w:themeColor="text1"/>
              <w:right w:val="single" w:sz="8" w:space="0" w:color="161616" w:themeColor="text1"/>
            </w:tcBorders>
            <w:tcMar>
              <w:top w:w="72" w:type="dxa"/>
              <w:left w:w="144" w:type="dxa"/>
              <w:bottom w:w="72" w:type="dxa"/>
              <w:right w:w="144" w:type="dxa"/>
            </w:tcMar>
            <w:vAlign w:val="center"/>
            <w:hideMark/>
          </w:tcPr>
          <w:p w14:paraId="4D25B9C5" w14:textId="2B02BB84" w:rsidR="00127665" w:rsidRDefault="008464B1" w:rsidP="00AB38C8">
            <w:pPr>
              <w:pStyle w:val="Corpsdetexte"/>
              <w:numPr>
                <w:ilvl w:val="0"/>
                <w:numId w:val="53"/>
              </w:numPr>
              <w:spacing w:before="120"/>
            </w:pPr>
            <w:r>
              <w:t xml:space="preserve">Communication de la répartition des </w:t>
            </w:r>
            <w:r w:rsidR="00127665">
              <w:t>volumes de couverture déclarés entre les 4 niveaux de sécurisation définis plus haut</w:t>
            </w:r>
            <w:r w:rsidR="00260C3B">
              <w:t> ;</w:t>
            </w:r>
          </w:p>
          <w:p w14:paraId="5367B6DA" w14:textId="5B102B66" w:rsidR="005C632A" w:rsidRDefault="005C632A" w:rsidP="005C632A">
            <w:pPr>
              <w:pStyle w:val="Corpsdetexte"/>
              <w:numPr>
                <w:ilvl w:val="0"/>
                <w:numId w:val="53"/>
              </w:numPr>
              <w:spacing w:before="120"/>
            </w:pPr>
            <w:r>
              <w:t>Description des modalités globales de sécurisation financière des contrats</w:t>
            </w:r>
            <w:r w:rsidR="00260C3B">
              <w:t> ;</w:t>
            </w:r>
          </w:p>
          <w:p w14:paraId="6216697B" w14:textId="48543388" w:rsidR="00A56DE9" w:rsidRPr="00A56DE9" w:rsidRDefault="005C632A" w:rsidP="005C632A">
            <w:pPr>
              <w:pStyle w:val="Corpsdetexte"/>
              <w:numPr>
                <w:ilvl w:val="0"/>
                <w:numId w:val="53"/>
              </w:numPr>
              <w:spacing w:before="120"/>
            </w:pPr>
            <w:r>
              <w:rPr>
                <w:i/>
                <w:iCs/>
              </w:rPr>
              <w:t>C</w:t>
            </w:r>
            <w:r w:rsidRPr="00804573">
              <w:rPr>
                <w:i/>
                <w:iCs/>
              </w:rPr>
              <w:t>ontrat représentant plus de 1% des volumes totaux déclarés</w:t>
            </w:r>
            <w:r>
              <w:rPr>
                <w:i/>
                <w:iCs/>
              </w:rPr>
              <w:t xml:space="preserve"> : </w:t>
            </w:r>
            <w:r>
              <w:t>Communication, pour chaque contrat, des sécurisations financières et notation financière de la contrepartie correspondante.</w:t>
            </w:r>
          </w:p>
        </w:tc>
      </w:tr>
      <w:tr w:rsidR="00AB38C8" w:rsidRPr="00A56DE9" w14:paraId="16DF344E" w14:textId="77777777" w:rsidTr="00431DD0">
        <w:trPr>
          <w:trHeight w:val="1051"/>
        </w:trPr>
        <w:tc>
          <w:tcPr>
            <w:tcW w:w="2411" w:type="dxa"/>
            <w:tcBorders>
              <w:top w:val="single" w:sz="8" w:space="0" w:color="161616" w:themeColor="text1"/>
              <w:left w:val="single" w:sz="8" w:space="0" w:color="161616" w:themeColor="text1"/>
              <w:bottom w:val="single" w:sz="8" w:space="0" w:color="161616" w:themeColor="text1"/>
              <w:right w:val="single" w:sz="8" w:space="0" w:color="161616" w:themeColor="text1"/>
            </w:tcBorders>
            <w:shd w:val="clear" w:color="auto" w:fill="285F83" w:themeFill="text2"/>
            <w:tcMar>
              <w:top w:w="72" w:type="dxa"/>
              <w:left w:w="144" w:type="dxa"/>
              <w:bottom w:w="72" w:type="dxa"/>
              <w:right w:w="144" w:type="dxa"/>
            </w:tcMar>
            <w:vAlign w:val="center"/>
          </w:tcPr>
          <w:p w14:paraId="703B3FAC" w14:textId="6CECE4C5" w:rsidR="00AB38C8" w:rsidRPr="00A56DE9" w:rsidRDefault="00AB38C8" w:rsidP="00AB38C8">
            <w:pPr>
              <w:pStyle w:val="Corpsdetexte"/>
              <w:spacing w:before="120"/>
              <w:rPr>
                <w:b/>
                <w:bCs/>
                <w:color w:val="FFFFFF" w:themeColor="background1"/>
              </w:rPr>
            </w:pPr>
            <w:r w:rsidRPr="00A56DE9">
              <w:rPr>
                <w:b/>
                <w:bCs/>
                <w:color w:val="FFFFFF" w:themeColor="background1"/>
              </w:rPr>
              <w:t xml:space="preserve">Délégation à une société </w:t>
            </w:r>
            <w:r w:rsidR="00EB4721">
              <w:rPr>
                <w:b/>
                <w:bCs/>
                <w:color w:val="FFFFFF" w:themeColor="background1"/>
              </w:rPr>
              <w:t>liée du groupe</w:t>
            </w:r>
          </w:p>
        </w:tc>
        <w:tc>
          <w:tcPr>
            <w:tcW w:w="7512" w:type="dxa"/>
            <w:tcBorders>
              <w:top w:val="single" w:sz="8" w:space="0" w:color="161616" w:themeColor="text1"/>
              <w:left w:val="single" w:sz="8" w:space="0" w:color="161616" w:themeColor="text1"/>
              <w:bottom w:val="single" w:sz="8" w:space="0" w:color="161616" w:themeColor="text1"/>
              <w:right w:val="single" w:sz="8" w:space="0" w:color="161616" w:themeColor="text1"/>
            </w:tcBorders>
            <w:tcMar>
              <w:top w:w="72" w:type="dxa"/>
              <w:left w:w="144" w:type="dxa"/>
              <w:bottom w:w="72" w:type="dxa"/>
              <w:right w:w="144" w:type="dxa"/>
            </w:tcMar>
            <w:vAlign w:val="center"/>
          </w:tcPr>
          <w:p w14:paraId="76898FF6" w14:textId="682B23F0" w:rsidR="00AB38C8" w:rsidRPr="00A56DE9" w:rsidRDefault="005D350E" w:rsidP="00A56DE9">
            <w:pPr>
              <w:pStyle w:val="Corpsdetexte"/>
              <w:spacing w:before="120"/>
            </w:pPr>
            <w:r>
              <w:t xml:space="preserve">Le fournisseur doit être en mesure </w:t>
            </w:r>
            <w:r w:rsidR="001D5B25">
              <w:t xml:space="preserve">d’identifier la contrepartie, et </w:t>
            </w:r>
            <w:r>
              <w:t xml:space="preserve">de préciser : </w:t>
            </w:r>
          </w:p>
          <w:p w14:paraId="326B4E77" w14:textId="5ADAF7B4" w:rsidR="005D350E" w:rsidRDefault="005D350E" w:rsidP="005D350E">
            <w:pPr>
              <w:pStyle w:val="Corpsdetexte"/>
              <w:numPr>
                <w:ilvl w:val="0"/>
                <w:numId w:val="56"/>
              </w:numPr>
              <w:spacing w:after="0"/>
            </w:pPr>
            <w:r>
              <w:t>Si les activités de cette société sont régulées par une autre instance</w:t>
            </w:r>
            <w:r w:rsidR="00845B99">
              <w:t> ;</w:t>
            </w:r>
          </w:p>
          <w:p w14:paraId="59ADF33C" w14:textId="217E7FE5" w:rsidR="005D350E" w:rsidRDefault="005D350E" w:rsidP="005D350E">
            <w:pPr>
              <w:pStyle w:val="Corpsdetexte"/>
              <w:numPr>
                <w:ilvl w:val="0"/>
                <w:numId w:val="56"/>
              </w:numPr>
              <w:spacing w:after="0"/>
            </w:pPr>
            <w:r>
              <w:t>S</w:t>
            </w:r>
            <w:r w:rsidR="007E3817">
              <w:t>i cette société est sujette à</w:t>
            </w:r>
            <w:r>
              <w:t xml:space="preserve"> des procédures de gestion de risques, un mandat de gestion, une limite d’exposition aux risques</w:t>
            </w:r>
            <w:r w:rsidR="007E3817">
              <w:t> ;</w:t>
            </w:r>
          </w:p>
          <w:p w14:paraId="015933FF" w14:textId="77777777" w:rsidR="005D350E" w:rsidRDefault="005D350E" w:rsidP="005D350E">
            <w:pPr>
              <w:pStyle w:val="Corpsdetexte"/>
              <w:numPr>
                <w:ilvl w:val="0"/>
                <w:numId w:val="56"/>
              </w:numPr>
              <w:spacing w:after="0"/>
            </w:pPr>
            <w:r>
              <w:t>Si la conformité aux règles de fonctionnement interne fait l’objet ou non d’un audit de conformité régulier ;</w:t>
            </w:r>
          </w:p>
          <w:p w14:paraId="2C06AB1D" w14:textId="0162904E" w:rsidR="00AB38C8" w:rsidRPr="00DF166D" w:rsidRDefault="005D350E" w:rsidP="00DF166D">
            <w:pPr>
              <w:pStyle w:val="Corpsdetexte"/>
              <w:numPr>
                <w:ilvl w:val="0"/>
                <w:numId w:val="56"/>
              </w:numPr>
              <w:spacing w:after="0"/>
            </w:pPr>
            <w:r>
              <w:t>Si le groupe distingue comptablement les charges et recettes entre l’activité de fourniture et l’activité de trading.</w:t>
            </w:r>
          </w:p>
        </w:tc>
      </w:tr>
      <w:tr w:rsidR="00AB38C8" w:rsidRPr="00A56DE9" w14:paraId="3886F26E" w14:textId="77777777" w:rsidTr="00431DD0">
        <w:trPr>
          <w:trHeight w:val="1051"/>
        </w:trPr>
        <w:tc>
          <w:tcPr>
            <w:tcW w:w="2411" w:type="dxa"/>
            <w:tcBorders>
              <w:top w:val="single" w:sz="8" w:space="0" w:color="161616" w:themeColor="text1"/>
              <w:left w:val="single" w:sz="8" w:space="0" w:color="161616" w:themeColor="text1"/>
              <w:bottom w:val="single" w:sz="8" w:space="0" w:color="161616" w:themeColor="text1"/>
              <w:right w:val="single" w:sz="8" w:space="0" w:color="161616" w:themeColor="text1"/>
            </w:tcBorders>
            <w:shd w:val="clear" w:color="auto" w:fill="285F83" w:themeFill="text2"/>
            <w:tcMar>
              <w:top w:w="72" w:type="dxa"/>
              <w:left w:w="144" w:type="dxa"/>
              <w:bottom w:w="72" w:type="dxa"/>
              <w:right w:w="144" w:type="dxa"/>
            </w:tcMar>
            <w:vAlign w:val="center"/>
          </w:tcPr>
          <w:p w14:paraId="015F72F1" w14:textId="1A0ABB20" w:rsidR="00AB38C8" w:rsidRPr="00A56DE9" w:rsidRDefault="009C7C11" w:rsidP="00A56DE9">
            <w:pPr>
              <w:pStyle w:val="Corpsdetexte"/>
              <w:spacing w:before="120"/>
              <w:rPr>
                <w:color w:val="FFFFFF" w:themeColor="background1"/>
              </w:rPr>
            </w:pPr>
            <w:r>
              <w:rPr>
                <w:b/>
                <w:bCs/>
                <w:color w:val="FFFFFF" w:themeColor="background1"/>
              </w:rPr>
              <w:t>Approvisionnement</w:t>
            </w:r>
            <w:r w:rsidRPr="00A56DE9">
              <w:rPr>
                <w:b/>
                <w:bCs/>
                <w:color w:val="FFFFFF" w:themeColor="background1"/>
              </w:rPr>
              <w:t xml:space="preserve"> </w:t>
            </w:r>
            <w:r w:rsidR="009370DB">
              <w:rPr>
                <w:b/>
                <w:bCs/>
                <w:color w:val="FFFFFF" w:themeColor="background1"/>
              </w:rPr>
              <w:t>via</w:t>
            </w:r>
            <w:r w:rsidRPr="00A56DE9">
              <w:rPr>
                <w:b/>
                <w:bCs/>
                <w:color w:val="FFFFFF" w:themeColor="background1"/>
              </w:rPr>
              <w:t xml:space="preserve"> une société </w:t>
            </w:r>
            <w:r w:rsidR="009370DB">
              <w:rPr>
                <w:b/>
                <w:bCs/>
                <w:color w:val="FFFFFF" w:themeColor="background1"/>
              </w:rPr>
              <w:t>tierce</w:t>
            </w:r>
          </w:p>
        </w:tc>
        <w:tc>
          <w:tcPr>
            <w:tcW w:w="7512" w:type="dxa"/>
            <w:tcBorders>
              <w:top w:val="single" w:sz="8" w:space="0" w:color="161616" w:themeColor="text1"/>
              <w:left w:val="single" w:sz="8" w:space="0" w:color="161616" w:themeColor="text1"/>
              <w:bottom w:val="single" w:sz="8" w:space="0" w:color="161616" w:themeColor="text1"/>
              <w:right w:val="single" w:sz="8" w:space="0" w:color="161616" w:themeColor="text1"/>
            </w:tcBorders>
            <w:tcMar>
              <w:top w:w="72" w:type="dxa"/>
              <w:left w:w="144" w:type="dxa"/>
              <w:bottom w:w="72" w:type="dxa"/>
              <w:right w:w="144" w:type="dxa"/>
            </w:tcMar>
            <w:vAlign w:val="center"/>
          </w:tcPr>
          <w:p w14:paraId="4239A54A" w14:textId="2B85DDDB" w:rsidR="00A56DE9" w:rsidRPr="00A56DE9" w:rsidRDefault="001D5B25" w:rsidP="009C7C11">
            <w:pPr>
              <w:pStyle w:val="Corpsdetexte"/>
              <w:numPr>
                <w:ilvl w:val="0"/>
                <w:numId w:val="56"/>
              </w:numPr>
              <w:spacing w:before="120"/>
            </w:pPr>
            <w:r>
              <w:t>Identification de la contrepartie</w:t>
            </w:r>
            <w:r w:rsidR="009F7253">
              <w:t>.</w:t>
            </w:r>
          </w:p>
        </w:tc>
      </w:tr>
    </w:tbl>
    <w:p w14:paraId="2A3E07B4" w14:textId="77777777" w:rsidR="00C83AD3" w:rsidRDefault="00C83AD3" w:rsidP="004B3CA6">
      <w:pPr>
        <w:pStyle w:val="Corpsdetexte"/>
        <w:spacing w:before="120" w:after="0"/>
      </w:pPr>
    </w:p>
    <w:p w14:paraId="6A51401C" w14:textId="77777777" w:rsidR="00C83AD3" w:rsidRPr="00C268D9" w:rsidRDefault="00C83AD3" w:rsidP="004B3CA6">
      <w:pPr>
        <w:pStyle w:val="Corpsdetexte"/>
        <w:spacing w:before="120" w:after="0"/>
      </w:pPr>
    </w:p>
    <w:p w14:paraId="704CC6CE" w14:textId="25E5B5D7" w:rsidR="00036775" w:rsidRDefault="00036775" w:rsidP="00036775">
      <w:pPr>
        <w:pStyle w:val="Titre1"/>
      </w:pPr>
      <w:bookmarkStart w:id="34" w:name="_Toc232094747"/>
      <w:r>
        <w:t>Evaluation des capacités financières des fournisseurs</w:t>
      </w:r>
      <w:bookmarkEnd w:id="34"/>
    </w:p>
    <w:p w14:paraId="492D1CB8" w14:textId="016BB781" w:rsidR="004F15D8" w:rsidRDefault="00A14BE7" w:rsidP="00FE644D">
      <w:pPr>
        <w:pStyle w:val="Corpsdetexte"/>
      </w:pPr>
      <w:r>
        <w:t>Lorsqu’un</w:t>
      </w:r>
      <w:r w:rsidR="00252BE5">
        <w:t xml:space="preserve"> fournisseur </w:t>
      </w:r>
      <w:r>
        <w:t xml:space="preserve">n’est </w:t>
      </w:r>
      <w:r w:rsidR="00252BE5">
        <w:t xml:space="preserve">pas en conformité avec le critère en couverture, </w:t>
      </w:r>
      <w:r w:rsidR="0093117B">
        <w:t xml:space="preserve">un contrôle </w:t>
      </w:r>
      <w:r>
        <w:t>de sa</w:t>
      </w:r>
      <w:r w:rsidR="0093117B">
        <w:t xml:space="preserve"> situation financière </w:t>
      </w:r>
      <w:r>
        <w:t>est nécessaire</w:t>
      </w:r>
      <w:r w:rsidR="00EE03FE">
        <w:t xml:space="preserve">. Ce contrôle passe </w:t>
      </w:r>
      <w:r w:rsidR="00314EB5">
        <w:t>par un test financier, d’un</w:t>
      </w:r>
      <w:r w:rsidR="00574ED4">
        <w:t xml:space="preserve"> niveau de</w:t>
      </w:r>
      <w:r w:rsidR="00314EB5">
        <w:t xml:space="preserve"> profondeur déterminé par </w:t>
      </w:r>
      <w:r w:rsidR="006F1BE9">
        <w:t>la qualité de la notation financière du fournisseur.</w:t>
      </w:r>
      <w:r w:rsidR="00314EB5">
        <w:t xml:space="preserve"> </w:t>
      </w:r>
    </w:p>
    <w:p w14:paraId="3EC28F30" w14:textId="68AEFE99" w:rsidR="00FE644D" w:rsidRPr="00FE644D" w:rsidRDefault="00BD2AF7" w:rsidP="00FE644D">
      <w:pPr>
        <w:pStyle w:val="Corpsdetexte"/>
      </w:pPr>
      <w:r>
        <w:t xml:space="preserve">Les sous-sections ci-après visent à </w:t>
      </w:r>
      <w:r w:rsidR="00B203C9">
        <w:t>préciser les caractéristiques de ce volet du contrôle</w:t>
      </w:r>
      <w:r w:rsidR="0001344B">
        <w:t>.</w:t>
      </w:r>
    </w:p>
    <w:p w14:paraId="450D9C6C" w14:textId="51A921DE" w:rsidR="00D41C1B" w:rsidRDefault="00036775" w:rsidP="00372EFD">
      <w:pPr>
        <w:pStyle w:val="Titre2"/>
      </w:pPr>
      <w:bookmarkStart w:id="35" w:name="_Toc232094748"/>
      <w:r>
        <w:t>Informations comptables</w:t>
      </w:r>
      <w:r w:rsidR="00BD3EF2">
        <w:t xml:space="preserve"> et financières collectées</w:t>
      </w:r>
      <w:bookmarkEnd w:id="35"/>
    </w:p>
    <w:p w14:paraId="6BA8171E" w14:textId="77777777" w:rsidR="002A1F4D" w:rsidRPr="00C340FC" w:rsidRDefault="006F237E" w:rsidP="00A029BA">
      <w:pPr>
        <w:pStyle w:val="Corpsdetexte"/>
      </w:pPr>
      <w:r w:rsidRPr="00C340FC">
        <w:t>L</w:t>
      </w:r>
      <w:r w:rsidR="003F752B" w:rsidRPr="00C340FC">
        <w:t xml:space="preserve">a conduite des tests mentionnés ci-dessus </w:t>
      </w:r>
      <w:r w:rsidR="00552A38" w:rsidRPr="00C340FC">
        <w:t>repose sur</w:t>
      </w:r>
      <w:r w:rsidR="003F752B" w:rsidRPr="00C340FC">
        <w:t xml:space="preserve"> la collecte de donnée</w:t>
      </w:r>
      <w:r w:rsidR="003C6250" w:rsidRPr="00C340FC">
        <w:t xml:space="preserve">s financières et comptables auprès des fournisseurs. </w:t>
      </w:r>
    </w:p>
    <w:p w14:paraId="071C10E8" w14:textId="03FC0B93" w:rsidR="003E0366" w:rsidRDefault="004273D4" w:rsidP="003E0366">
      <w:pPr>
        <w:pStyle w:val="Corpsdetexte"/>
      </w:pPr>
      <w:r w:rsidRPr="00C340FC">
        <w:t>L</w:t>
      </w:r>
      <w:r w:rsidR="006F237E" w:rsidRPr="00C340FC">
        <w:t xml:space="preserve">a CRE </w:t>
      </w:r>
      <w:r w:rsidR="00C919E8" w:rsidRPr="00842452">
        <w:t xml:space="preserve">demande </w:t>
      </w:r>
      <w:r w:rsidR="002A1F4D" w:rsidRPr="00C340FC">
        <w:t>l</w:t>
      </w:r>
      <w:r w:rsidR="00F44F16" w:rsidRPr="00C340FC">
        <w:t>es éléments comptables et financiers</w:t>
      </w:r>
      <w:r w:rsidR="00A12C45" w:rsidRPr="00842452">
        <w:t xml:space="preserve"> lui permettant de mener à bien </w:t>
      </w:r>
      <w:r w:rsidR="00190A94" w:rsidRPr="00842452">
        <w:t xml:space="preserve">le test financier </w:t>
      </w:r>
      <w:r w:rsidR="003E0366" w:rsidRPr="00C340FC">
        <w:t>à chaque fournisseur ne respectant le critère en couverture du principe n°1</w:t>
      </w:r>
      <w:r w:rsidR="00E61519" w:rsidRPr="00C340FC">
        <w:t>.</w:t>
      </w:r>
      <w:r w:rsidR="003E0366" w:rsidRPr="00C340FC">
        <w:t xml:space="preserve"> </w:t>
      </w:r>
      <w:r w:rsidR="002B777B" w:rsidRPr="00842452">
        <w:t>Le fournisseur concerné devra donc transmettre ces éléments à la CRE dans un délai de 1</w:t>
      </w:r>
      <w:r w:rsidR="00B27D8B" w:rsidRPr="00842452">
        <w:t>5</w:t>
      </w:r>
      <w:r w:rsidR="002B777B" w:rsidRPr="00842452">
        <w:t xml:space="preserve"> jours ouvrés après réception du courriel portant communication de son résultat au critère en couverture. L’incapacité du fournisseur à transmettre à la CRE des données financières dans le délai imparti sera considérée comme un manquement aux évaluations financières relatives au principe 2</w:t>
      </w:r>
      <w:r w:rsidR="002B777B" w:rsidRPr="002B777B">
        <w:t xml:space="preserve">. </w:t>
      </w:r>
      <w:r w:rsidR="00293F35">
        <w:t>L</w:t>
      </w:r>
      <w:r w:rsidR="003E0366">
        <w:t>es éléments suivants sont exigés par la CRE :</w:t>
      </w:r>
    </w:p>
    <w:p w14:paraId="5AC1485B" w14:textId="77777777" w:rsidR="003E0366" w:rsidRPr="0022427D" w:rsidRDefault="003E0366" w:rsidP="003E0366">
      <w:pPr>
        <w:pStyle w:val="Corpsdetexte"/>
        <w:numPr>
          <w:ilvl w:val="2"/>
          <w:numId w:val="58"/>
        </w:numPr>
        <w:spacing w:after="0"/>
      </w:pPr>
      <w:r>
        <w:rPr>
          <w:b/>
          <w:bCs/>
        </w:rPr>
        <w:t>Informations comptables s</w:t>
      </w:r>
      <w:r w:rsidRPr="00431DD0">
        <w:rPr>
          <w:b/>
          <w:bCs/>
        </w:rPr>
        <w:t>ur la dernière année réalisée</w:t>
      </w:r>
      <w:r>
        <w:t xml:space="preserve"> </w:t>
      </w:r>
    </w:p>
    <w:p w14:paraId="4401AE1D" w14:textId="5EABDA48" w:rsidR="003E0366" w:rsidRDefault="003E0366" w:rsidP="003E0366">
      <w:pPr>
        <w:pStyle w:val="Corpsdetexte"/>
        <w:numPr>
          <w:ilvl w:val="3"/>
          <w:numId w:val="82"/>
        </w:numPr>
        <w:spacing w:after="0"/>
      </w:pPr>
      <w:r>
        <w:t>Compte de résultat</w:t>
      </w:r>
      <w:r w:rsidR="00206721">
        <w:t> ;</w:t>
      </w:r>
    </w:p>
    <w:p w14:paraId="0F816D53" w14:textId="230193DB" w:rsidR="003E0366" w:rsidRDefault="003E0366" w:rsidP="003E0366">
      <w:pPr>
        <w:pStyle w:val="Corpsdetexte"/>
        <w:numPr>
          <w:ilvl w:val="3"/>
          <w:numId w:val="82"/>
        </w:numPr>
        <w:spacing w:after="0"/>
      </w:pPr>
      <w:r>
        <w:t>Bilan</w:t>
      </w:r>
      <w:r w:rsidR="00206721">
        <w:t> ;</w:t>
      </w:r>
    </w:p>
    <w:p w14:paraId="734BB402" w14:textId="109FD55B" w:rsidR="003E0366" w:rsidRDefault="003E0366" w:rsidP="003E0366">
      <w:pPr>
        <w:pStyle w:val="Corpsdetexte"/>
        <w:numPr>
          <w:ilvl w:val="3"/>
          <w:numId w:val="82"/>
        </w:numPr>
        <w:spacing w:after="0"/>
      </w:pPr>
      <w:r>
        <w:t>Tableau de flux de trésorerie</w:t>
      </w:r>
      <w:r w:rsidR="00206721">
        <w:t> ;</w:t>
      </w:r>
    </w:p>
    <w:p w14:paraId="3A45AD09" w14:textId="5EC8C612" w:rsidR="003E0366" w:rsidRDefault="003E0366" w:rsidP="003E0366">
      <w:pPr>
        <w:pStyle w:val="Corpsdetexte"/>
        <w:numPr>
          <w:ilvl w:val="3"/>
          <w:numId w:val="82"/>
        </w:numPr>
      </w:pPr>
      <w:r>
        <w:t>Certification des comptes par les commissaires aux comptes</w:t>
      </w:r>
      <w:r w:rsidR="00206721">
        <w:t>.</w:t>
      </w:r>
    </w:p>
    <w:p w14:paraId="1E0BF2EF" w14:textId="59F17DE0" w:rsidR="003E0366" w:rsidRPr="00F155CA" w:rsidRDefault="003E0366" w:rsidP="003E0366">
      <w:pPr>
        <w:pStyle w:val="Corpsdetexte"/>
        <w:numPr>
          <w:ilvl w:val="2"/>
          <w:numId w:val="58"/>
        </w:numPr>
        <w:spacing w:after="0"/>
        <w:rPr>
          <w:b/>
        </w:rPr>
      </w:pPr>
      <w:r>
        <w:rPr>
          <w:b/>
          <w:bCs/>
        </w:rPr>
        <w:t xml:space="preserve">Eléments financiers à saisir dans le formulaire de collecte de données </w:t>
      </w:r>
      <w:r w:rsidRPr="00F67F50">
        <w:rPr>
          <w:b/>
          <w:bCs/>
        </w:rPr>
        <w:t>(</w:t>
      </w:r>
      <w:r w:rsidRPr="007277AF">
        <w:rPr>
          <w:b/>
        </w:rPr>
        <w:t xml:space="preserve">cf. annexes </w:t>
      </w:r>
      <w:r w:rsidR="008A618D">
        <w:rPr>
          <w:b/>
        </w:rPr>
        <w:t>3</w:t>
      </w:r>
      <w:r w:rsidRPr="007277AF">
        <w:rPr>
          <w:b/>
        </w:rPr>
        <w:t xml:space="preserve">a et </w:t>
      </w:r>
      <w:r w:rsidR="008A618D">
        <w:rPr>
          <w:b/>
        </w:rPr>
        <w:t>3</w:t>
      </w:r>
      <w:r w:rsidRPr="007277AF">
        <w:rPr>
          <w:b/>
        </w:rPr>
        <w:t>b</w:t>
      </w:r>
      <w:r w:rsidRPr="00F155CA">
        <w:rPr>
          <w:b/>
          <w:bCs/>
        </w:rPr>
        <w:t xml:space="preserve">) : </w:t>
      </w:r>
    </w:p>
    <w:p w14:paraId="4B738B4C" w14:textId="1E800B3B" w:rsidR="003E0366" w:rsidRDefault="003E0366" w:rsidP="003E0366">
      <w:pPr>
        <w:pStyle w:val="Corpsdetexte"/>
        <w:numPr>
          <w:ilvl w:val="3"/>
          <w:numId w:val="83"/>
        </w:numPr>
        <w:spacing w:after="0"/>
        <w:ind w:left="1434" w:hanging="357"/>
      </w:pPr>
      <w:r>
        <w:t>Les dernières notations financières de l’entreprise attribuées par des agences de notations, le cas échéant</w:t>
      </w:r>
      <w:r w:rsidR="00206721">
        <w:t> ;</w:t>
      </w:r>
    </w:p>
    <w:p w14:paraId="2AB3BF99" w14:textId="578D7A21" w:rsidR="003E0366" w:rsidRDefault="003E0366" w:rsidP="003E0366">
      <w:pPr>
        <w:pStyle w:val="Corpsdetexte"/>
        <w:numPr>
          <w:ilvl w:val="3"/>
          <w:numId w:val="83"/>
        </w:numPr>
        <w:spacing w:after="0"/>
        <w:ind w:left="1434" w:hanging="357"/>
      </w:pPr>
      <w:r>
        <w:t>Le plan d’affaires de l’année en cours et de l’année suivante</w:t>
      </w:r>
      <w:r w:rsidR="00206721">
        <w:t> ;</w:t>
      </w:r>
    </w:p>
    <w:p w14:paraId="4CCA1404" w14:textId="286B8DBA" w:rsidR="003E0366" w:rsidRDefault="003E0366" w:rsidP="003E0366">
      <w:pPr>
        <w:pStyle w:val="Corpsdetexte"/>
        <w:numPr>
          <w:ilvl w:val="3"/>
          <w:numId w:val="83"/>
        </w:numPr>
        <w:spacing w:after="0"/>
      </w:pPr>
      <w:r>
        <w:t>La capacité de mobilisation de trésorerie</w:t>
      </w:r>
      <w:r w:rsidR="00206721">
        <w:t> ;</w:t>
      </w:r>
    </w:p>
    <w:p w14:paraId="7F6EC992" w14:textId="4128EE5D" w:rsidR="003E0366" w:rsidRDefault="003E0366" w:rsidP="003E0366">
      <w:pPr>
        <w:pStyle w:val="Corpsdetexte"/>
        <w:numPr>
          <w:ilvl w:val="3"/>
          <w:numId w:val="83"/>
        </w:numPr>
        <w:ind w:left="1434" w:hanging="357"/>
      </w:pPr>
      <w:r>
        <w:t>La sensibilité des appels de marge des couvertures aux prix de gros</w:t>
      </w:r>
      <w:r w:rsidR="00206721">
        <w:t>.</w:t>
      </w:r>
    </w:p>
    <w:p w14:paraId="0738EA95" w14:textId="57DA41E1" w:rsidR="005C1B4B" w:rsidRPr="00842452" w:rsidRDefault="00307E76" w:rsidP="005C1B4B">
      <w:pPr>
        <w:pStyle w:val="Corpsdetexte"/>
        <w:numPr>
          <w:ilvl w:val="2"/>
          <w:numId w:val="83"/>
        </w:numPr>
      </w:pPr>
      <w:r w:rsidRPr="00842452">
        <w:rPr>
          <w:b/>
        </w:rPr>
        <w:t>La variation d</w:t>
      </w:r>
      <w:r w:rsidR="00B04EF2" w:rsidRPr="00842452">
        <w:rPr>
          <w:b/>
        </w:rPr>
        <w:t xml:space="preserve">es </w:t>
      </w:r>
      <w:r w:rsidRPr="00842452">
        <w:rPr>
          <w:b/>
        </w:rPr>
        <w:t xml:space="preserve">« </w:t>
      </w:r>
      <w:r w:rsidR="00C96A3E" w:rsidRPr="00842452">
        <w:rPr>
          <w:b/>
        </w:rPr>
        <w:t>plus ou moins values de couverture</w:t>
      </w:r>
      <w:r w:rsidRPr="00842452">
        <w:rPr>
          <w:b/>
        </w:rPr>
        <w:t xml:space="preserve"> », </w:t>
      </w:r>
      <w:r w:rsidR="005C1B4B" w:rsidRPr="00842452">
        <w:t>entre la dernière date de clôture comptable précédant la date d</w:t>
      </w:r>
      <w:r w:rsidR="008D5F60" w:rsidRPr="00842452">
        <w:t>e ré</w:t>
      </w:r>
      <w:r w:rsidR="00DF151E" w:rsidRPr="00842452">
        <w:t>férence</w:t>
      </w:r>
      <w:r w:rsidR="005C1B4B" w:rsidRPr="00842452">
        <w:t>, et la date d</w:t>
      </w:r>
      <w:r w:rsidR="00DF151E" w:rsidRPr="00842452">
        <w:t>e référence</w:t>
      </w:r>
      <w:r w:rsidR="005C1B4B" w:rsidRPr="00842452">
        <w:t xml:space="preserve">. </w:t>
      </w:r>
    </w:p>
    <w:p w14:paraId="1DF96B1A" w14:textId="3B421B5D" w:rsidR="00E51704" w:rsidRPr="00842452" w:rsidRDefault="005C1B4B" w:rsidP="00ED69B1">
      <w:pPr>
        <w:pStyle w:val="Corpsdetexte"/>
        <w:numPr>
          <w:ilvl w:val="3"/>
          <w:numId w:val="83"/>
        </w:numPr>
        <w:rPr>
          <w:b/>
        </w:rPr>
      </w:pPr>
      <w:r w:rsidRPr="00842452">
        <w:t xml:space="preserve">Celui-ci correspond aux plus ou moins-values latentes et réalisées des positions de couverture constatées sur la période. </w:t>
      </w:r>
    </w:p>
    <w:p w14:paraId="5837EA5C" w14:textId="77777777" w:rsidR="003E0366" w:rsidRDefault="003E0366" w:rsidP="003E0366">
      <w:pPr>
        <w:pStyle w:val="Corpsdetexte"/>
      </w:pPr>
      <w:r>
        <w:t>Le pas de temps des éléments financiers saisis dans le modèle de document est conditionné par la notation financière du fournisseur :</w:t>
      </w:r>
    </w:p>
    <w:p w14:paraId="7426C33B" w14:textId="4C946FD1" w:rsidR="003E0366" w:rsidRDefault="003E0366" w:rsidP="003E0366">
      <w:pPr>
        <w:pStyle w:val="Corpsdetexte"/>
        <w:numPr>
          <w:ilvl w:val="0"/>
          <w:numId w:val="78"/>
        </w:numPr>
      </w:pPr>
      <w:r>
        <w:t>Dans le cas où le fournisseur présente une notation financière vérifiant le critère seuil défini en 4.2.2, le pas de temps retenu est annuel</w:t>
      </w:r>
      <w:r w:rsidR="00874FA0">
        <w:t> ;</w:t>
      </w:r>
      <w:r>
        <w:t xml:space="preserve"> </w:t>
      </w:r>
    </w:p>
    <w:p w14:paraId="0E1C9949" w14:textId="77777777" w:rsidR="003E0366" w:rsidRDefault="003E0366" w:rsidP="003E0366">
      <w:pPr>
        <w:pStyle w:val="Corpsdetexte"/>
        <w:numPr>
          <w:ilvl w:val="0"/>
          <w:numId w:val="78"/>
        </w:numPr>
      </w:pPr>
      <w:r>
        <w:t xml:space="preserve">Dans le cas où le fournisseur présente une notation financière inférieure à ce critère seuil ou ne dispose pas de notation financière, le pas de temps retenu est trimestriel. </w:t>
      </w:r>
    </w:p>
    <w:p w14:paraId="45D24722" w14:textId="05A5F7D4" w:rsidR="00B70C81" w:rsidRDefault="003E0366" w:rsidP="003E0366">
      <w:pPr>
        <w:pStyle w:val="Corpsdetexte"/>
      </w:pPr>
      <w:r>
        <w:t>Ces éléments sont indispensables pour la conduite du test financier. La CRE est consciente de leur caractère sensible, ils seront donc traités avec la rigueur qui s’impose s’agissant de leur protection. Les fournisseurs pourront également présenter à la CRE tout élément qu’ils estimeront pertinent.</w:t>
      </w:r>
    </w:p>
    <w:p w14:paraId="7AE17144" w14:textId="0DE56233" w:rsidR="009410BF" w:rsidRDefault="003E0366" w:rsidP="00DB4BF1">
      <w:pPr>
        <w:pStyle w:val="Corpsdetexte"/>
      </w:pPr>
      <w:r w:rsidRPr="00842452">
        <w:t xml:space="preserve">Par ailleurs, </w:t>
      </w:r>
      <w:r w:rsidRPr="003E0366">
        <w:t>l</w:t>
      </w:r>
      <w:r w:rsidR="003241A0" w:rsidRPr="003E0366">
        <w:t>e</w:t>
      </w:r>
      <w:r w:rsidR="003241A0">
        <w:t xml:space="preserve"> </w:t>
      </w:r>
      <w:r w:rsidR="00DB4BF1">
        <w:t>contrôle privilégie une approche consolidée dans l’évaluation financière d</w:t>
      </w:r>
      <w:r w:rsidR="00817607">
        <w:t>u</w:t>
      </w:r>
      <w:r w:rsidR="00DB4BF1">
        <w:t xml:space="preserve"> fournisseur</w:t>
      </w:r>
      <w:r w:rsidR="003241A0">
        <w:t>, en tenant compte de sa situation particulière</w:t>
      </w:r>
      <w:r w:rsidR="009410BF">
        <w:t> :</w:t>
      </w:r>
    </w:p>
    <w:p w14:paraId="19638DF0" w14:textId="2D93136D" w:rsidR="00322D43" w:rsidRDefault="00727248" w:rsidP="00A33707">
      <w:pPr>
        <w:pStyle w:val="Corpsdetexte"/>
        <w:numPr>
          <w:ilvl w:val="0"/>
          <w:numId w:val="70"/>
        </w:numPr>
      </w:pPr>
      <w:r>
        <w:t xml:space="preserve">Dans </w:t>
      </w:r>
      <w:r w:rsidR="00D45AC9">
        <w:t>le</w:t>
      </w:r>
      <w:r w:rsidR="007B05FA">
        <w:t xml:space="preserve"> cas où</w:t>
      </w:r>
      <w:r>
        <w:t xml:space="preserve"> </w:t>
      </w:r>
      <w:r w:rsidR="00D45AC9">
        <w:t>le fournisseur est une société indépendante, le test financier portera sur les comptes sociaux.</w:t>
      </w:r>
      <w:r w:rsidR="00322D43" w:rsidRPr="00322D43">
        <w:t xml:space="preserve"> </w:t>
      </w:r>
    </w:p>
    <w:p w14:paraId="7D24ECAD" w14:textId="31DB238B" w:rsidR="00190383" w:rsidRDefault="00190383" w:rsidP="00A33707">
      <w:pPr>
        <w:pStyle w:val="Corpsdetexte"/>
        <w:numPr>
          <w:ilvl w:val="0"/>
          <w:numId w:val="70"/>
        </w:numPr>
      </w:pPr>
      <w:r>
        <w:t xml:space="preserve">Dans le cas où l’activité </w:t>
      </w:r>
      <w:r w:rsidR="00C056FF">
        <w:t xml:space="preserve">de fourniture </w:t>
      </w:r>
      <w:r>
        <w:t>est filialisée</w:t>
      </w:r>
      <w:r w:rsidR="00641A1A">
        <w:t xml:space="preserve">, </w:t>
      </w:r>
      <w:r w:rsidR="00A14BE7">
        <w:t xml:space="preserve">doivent être </w:t>
      </w:r>
      <w:r w:rsidR="00641A1A">
        <w:t>distingu</w:t>
      </w:r>
      <w:r w:rsidR="00A14BE7">
        <w:t>és</w:t>
      </w:r>
      <w:r w:rsidR="00641A1A">
        <w:t xml:space="preserve"> : </w:t>
      </w:r>
    </w:p>
    <w:p w14:paraId="4FEFB17D" w14:textId="0AE9D537" w:rsidR="00AF0D93" w:rsidRDefault="00FC2C15" w:rsidP="00431DD0">
      <w:pPr>
        <w:pStyle w:val="Corpsdetexte"/>
        <w:numPr>
          <w:ilvl w:val="1"/>
          <w:numId w:val="84"/>
        </w:numPr>
      </w:pPr>
      <w:r>
        <w:t>L</w:t>
      </w:r>
      <w:r w:rsidR="000F1430">
        <w:t>e cas</w:t>
      </w:r>
      <w:r w:rsidR="00975D38">
        <w:t xml:space="preserve"> où le fournisseur est </w:t>
      </w:r>
      <w:r w:rsidR="000F1430">
        <w:t>un</w:t>
      </w:r>
      <w:r w:rsidR="00790003">
        <w:t>e société distincte bénéficiant</w:t>
      </w:r>
      <w:r w:rsidR="002F32C3">
        <w:t xml:space="preserve"> d’une </w:t>
      </w:r>
      <w:r w:rsidR="00790003">
        <w:t xml:space="preserve">garantie financière de </w:t>
      </w:r>
      <w:r w:rsidR="002F32C3">
        <w:t>s</w:t>
      </w:r>
      <w:r w:rsidR="00790003">
        <w:t>a maison mère</w:t>
      </w:r>
      <w:r w:rsidR="001006E7">
        <w:t> : i</w:t>
      </w:r>
      <w:r w:rsidR="00EC3171">
        <w:t xml:space="preserve">l </w:t>
      </w:r>
      <w:r w:rsidR="00790003">
        <w:t>peut</w:t>
      </w:r>
      <w:r w:rsidR="00DB4BF1">
        <w:t xml:space="preserve"> s’en prévaloir </w:t>
      </w:r>
      <w:r w:rsidR="00692B37">
        <w:t>dans le cadre du test financier</w:t>
      </w:r>
      <w:r w:rsidR="00705230">
        <w:t>,</w:t>
      </w:r>
      <w:r w:rsidR="00365789">
        <w:t xml:space="preserve"> </w:t>
      </w:r>
      <w:r w:rsidR="00DB4BF1">
        <w:t>à hauteur du montant de l’engagement justifié</w:t>
      </w:r>
      <w:r w:rsidR="00DB3F93">
        <w:t xml:space="preserve"> dans le cas où il est pertinent pour </w:t>
      </w:r>
      <w:r w:rsidR="00DB3F93">
        <w:lastRenderedPageBreak/>
        <w:t>l’approvisionnement en énergie</w:t>
      </w:r>
      <w:r w:rsidR="00DB4BF1">
        <w:t>.</w:t>
      </w:r>
      <w:r w:rsidR="00FE6E5F">
        <w:t xml:space="preserve"> </w:t>
      </w:r>
      <w:r w:rsidR="0075419C">
        <w:t xml:space="preserve">Dans </w:t>
      </w:r>
      <w:r w:rsidR="00F96ABF">
        <w:t xml:space="preserve">ce cas, le test </w:t>
      </w:r>
      <w:r w:rsidR="00290797">
        <w:t>financier</w:t>
      </w:r>
      <w:r w:rsidR="0091683D">
        <w:t xml:space="preserve"> est</w:t>
      </w:r>
      <w:r w:rsidR="00290797">
        <w:t xml:space="preserve"> </w:t>
      </w:r>
      <w:r w:rsidR="00F96ABF">
        <w:t xml:space="preserve">conduit sur la base des comptes sociaux </w:t>
      </w:r>
      <w:r w:rsidR="0091683D">
        <w:t>dont</w:t>
      </w:r>
      <w:r w:rsidR="00292731">
        <w:t xml:space="preserve"> l</w:t>
      </w:r>
      <w:r w:rsidR="00AE3629">
        <w:t xml:space="preserve">es capacités financières </w:t>
      </w:r>
      <w:r w:rsidR="00010DD0">
        <w:t xml:space="preserve">sont </w:t>
      </w:r>
      <w:r w:rsidR="0091683D">
        <w:t>complétées à hauteur de l’engagement.</w:t>
      </w:r>
      <w:r w:rsidR="00010DD0">
        <w:t xml:space="preserve"> </w:t>
      </w:r>
    </w:p>
    <w:p w14:paraId="28D1C2E9" w14:textId="6C36A399" w:rsidR="00B7248C" w:rsidRDefault="00204B52" w:rsidP="00431DD0">
      <w:pPr>
        <w:pStyle w:val="Corpsdetexte"/>
        <w:numPr>
          <w:ilvl w:val="1"/>
          <w:numId w:val="84"/>
        </w:numPr>
      </w:pPr>
      <w:r>
        <w:t>Le cas où</w:t>
      </w:r>
      <w:r w:rsidR="00B7248C">
        <w:t xml:space="preserve"> le fournisseur ne bénéficie d’aucune </w:t>
      </w:r>
      <w:r w:rsidR="005C4CB2">
        <w:t>garantie maison mère</w:t>
      </w:r>
      <w:r w:rsidR="008F69ED">
        <w:t> :</w:t>
      </w:r>
      <w:r w:rsidR="00C55688">
        <w:t xml:space="preserve"> le test financier portera sur les comptes sociaux.</w:t>
      </w:r>
    </w:p>
    <w:p w14:paraId="4B5F158A" w14:textId="1E479264" w:rsidR="003E0366" w:rsidRDefault="00293F35" w:rsidP="00842452">
      <w:pPr>
        <w:pStyle w:val="Corpsdetexte"/>
        <w:numPr>
          <w:ilvl w:val="0"/>
          <w:numId w:val="70"/>
        </w:numPr>
      </w:pPr>
      <w:r>
        <w:t>D</w:t>
      </w:r>
      <w:r w:rsidR="006D5D7C">
        <w:t>ans</w:t>
      </w:r>
      <w:r w:rsidR="00322D43">
        <w:t xml:space="preserve"> le cas d’un acteur intégré, la CRE estime qu’il est légitime que sa situation financière soit considérée dans sa globalité lors des évaluations financières en l’absence de distinction juridique de son entité de fourniture, puisque c’est bien cette situation qui caractérise les moyens d’action financiers de l’entreprise pour honorer ses engagements et éviter la faillite.</w:t>
      </w:r>
    </w:p>
    <w:p w14:paraId="5164AEEC" w14:textId="1B99E30B" w:rsidR="002B24DA" w:rsidRDefault="00293F35" w:rsidP="00A029BA">
      <w:pPr>
        <w:pStyle w:val="Corpsdetexte"/>
      </w:pPr>
      <w:r>
        <w:t>Enfin, l</w:t>
      </w:r>
      <w:r w:rsidR="003E0366">
        <w:t>a CRE</w:t>
      </w:r>
      <w:r w:rsidR="003E0366" w:rsidDel="002C017C">
        <w:t xml:space="preserve"> </w:t>
      </w:r>
      <w:r w:rsidR="003E0366">
        <w:t>demande que chaque fournisseur soit tenu de communiquer à la CRE tout changement en cours d’année susceptible d’affecter les conclusions du test financier.</w:t>
      </w:r>
    </w:p>
    <w:p w14:paraId="73C2666F" w14:textId="0810527C" w:rsidR="001358E3" w:rsidRDefault="001358E3" w:rsidP="00372EFD">
      <w:pPr>
        <w:pStyle w:val="Titre2"/>
      </w:pPr>
      <w:bookmarkStart w:id="36" w:name="_Toc232094749"/>
      <w:r>
        <w:t>Notation financière</w:t>
      </w:r>
      <w:bookmarkEnd w:id="36"/>
    </w:p>
    <w:p w14:paraId="70F4DAD4" w14:textId="24CC2B5A" w:rsidR="00AC4715" w:rsidRDefault="002B737C" w:rsidP="009820E8">
      <w:pPr>
        <w:pStyle w:val="Titre3"/>
      </w:pPr>
      <w:bookmarkStart w:id="37" w:name="_Toc232094750"/>
      <w:r>
        <w:t xml:space="preserve">Provenance </w:t>
      </w:r>
      <w:r w:rsidR="00AC4715">
        <w:t>des notations financières</w:t>
      </w:r>
      <w:bookmarkEnd w:id="37"/>
    </w:p>
    <w:p w14:paraId="5B09927F" w14:textId="692C0E8D" w:rsidR="00A02EBE" w:rsidRDefault="00B907D4" w:rsidP="003C232D">
      <w:pPr>
        <w:pStyle w:val="Corpsdetexte"/>
      </w:pPr>
      <w:r>
        <w:t>La CRE utilise</w:t>
      </w:r>
      <w:r w:rsidR="001A1478">
        <w:t xml:space="preserve"> la notation financière pour différencier le traitement d</w:t>
      </w:r>
      <w:r w:rsidR="00362DC2">
        <w:t xml:space="preserve">u fournisseur s’agissant de la profondeur du test financier appliqué. </w:t>
      </w:r>
      <w:r w:rsidR="003B3AAA" w:rsidRPr="00842452">
        <w:rPr>
          <w:b/>
          <w:bCs/>
        </w:rPr>
        <w:t>La</w:t>
      </w:r>
      <w:r w:rsidR="00BB57EF" w:rsidRPr="00842452">
        <w:rPr>
          <w:b/>
          <w:bCs/>
        </w:rPr>
        <w:t xml:space="preserve"> CRE</w:t>
      </w:r>
      <w:r w:rsidR="003B3AAA" w:rsidRPr="00842452">
        <w:rPr>
          <w:b/>
          <w:bCs/>
        </w:rPr>
        <w:t xml:space="preserve"> retient </w:t>
      </w:r>
      <w:r w:rsidR="00BB75CC" w:rsidRPr="00842452">
        <w:rPr>
          <w:b/>
          <w:bCs/>
        </w:rPr>
        <w:t>les notations financières des agences de notation</w:t>
      </w:r>
      <w:r w:rsidR="004D6C3C" w:rsidRPr="004D6C3C">
        <w:rPr>
          <w:b/>
          <w:bCs/>
        </w:rPr>
        <w:t xml:space="preserve"> issues d’organismes enregistrés en tant qu’agences de notation de crédit auprès de l’ESMA</w:t>
      </w:r>
      <w:r w:rsidR="00BB75CC">
        <w:t xml:space="preserve">. </w:t>
      </w:r>
      <w:r w:rsidR="00164453">
        <w:t xml:space="preserve">Il </w:t>
      </w:r>
      <w:r w:rsidR="002507A1">
        <w:t>n’est</w:t>
      </w:r>
      <w:r w:rsidR="00164453">
        <w:t xml:space="preserve"> donc</w:t>
      </w:r>
      <w:r w:rsidR="002507A1">
        <w:t xml:space="preserve"> pas envisagé</w:t>
      </w:r>
      <w:r w:rsidR="00173929">
        <w:t xml:space="preserve"> de </w:t>
      </w:r>
      <w:r w:rsidR="007A366C">
        <w:t>mettre en place</w:t>
      </w:r>
      <w:r w:rsidR="002507A1">
        <w:t xml:space="preserve"> une</w:t>
      </w:r>
      <w:r w:rsidR="007A366C">
        <w:t xml:space="preserve"> notation</w:t>
      </w:r>
      <w:r w:rsidR="002507A1">
        <w:t xml:space="preserve"> </w:t>
      </w:r>
      <w:r w:rsidR="00A54CC0">
        <w:t xml:space="preserve">financière </w:t>
      </w:r>
      <w:r w:rsidR="007A366C" w:rsidDel="003115E3">
        <w:t>des fournisseurs</w:t>
      </w:r>
      <w:r w:rsidR="003115E3">
        <w:t xml:space="preserve"> </w:t>
      </w:r>
      <w:r w:rsidR="0010535B">
        <w:t>interne</w:t>
      </w:r>
      <w:r w:rsidR="00F2080F">
        <w:t xml:space="preserve">, ni de recourir à </w:t>
      </w:r>
      <w:r w:rsidR="007F3901">
        <w:t xml:space="preserve">la notation Banque de </w:t>
      </w:r>
      <w:r w:rsidR="00B27309">
        <w:t>France.</w:t>
      </w:r>
      <w:r w:rsidR="00672E9D">
        <w:t xml:space="preserve"> </w:t>
      </w:r>
      <w:r w:rsidR="00FB614E" w:rsidRPr="009721C7">
        <w:rPr>
          <w:b/>
        </w:rPr>
        <w:t xml:space="preserve">Si </w:t>
      </w:r>
      <w:r w:rsidR="001A3998" w:rsidRPr="009721C7">
        <w:rPr>
          <w:b/>
        </w:rPr>
        <w:t>un</w:t>
      </w:r>
      <w:r w:rsidR="00FB614E" w:rsidRPr="009721C7">
        <w:rPr>
          <w:b/>
        </w:rPr>
        <w:t xml:space="preserve"> fournisseur</w:t>
      </w:r>
      <w:r w:rsidR="001A3998" w:rsidRPr="009721C7">
        <w:rPr>
          <w:b/>
        </w:rPr>
        <w:t xml:space="preserve"> n</w:t>
      </w:r>
      <w:r w:rsidR="00F412B3">
        <w:rPr>
          <w:b/>
          <w:bCs/>
        </w:rPr>
        <w:t>e respecte pa</w:t>
      </w:r>
      <w:r w:rsidR="00812E9F">
        <w:rPr>
          <w:b/>
          <w:bCs/>
        </w:rPr>
        <w:t>s</w:t>
      </w:r>
      <w:r w:rsidR="00F412B3">
        <w:rPr>
          <w:b/>
          <w:bCs/>
        </w:rPr>
        <w:t xml:space="preserve"> le</w:t>
      </w:r>
      <w:r w:rsidR="001A3998" w:rsidRPr="009721C7">
        <w:rPr>
          <w:b/>
          <w:bCs/>
        </w:rPr>
        <w:t xml:space="preserve"> </w:t>
      </w:r>
      <w:r w:rsidR="001A3998" w:rsidRPr="009721C7">
        <w:rPr>
          <w:b/>
        </w:rPr>
        <w:t>critère en couverture</w:t>
      </w:r>
      <w:r w:rsidR="00097AF9">
        <w:rPr>
          <w:b/>
          <w:bCs/>
        </w:rPr>
        <w:t xml:space="preserve"> </w:t>
      </w:r>
      <w:r w:rsidR="00812E9F">
        <w:rPr>
          <w:b/>
          <w:bCs/>
        </w:rPr>
        <w:t xml:space="preserve">et qu’il </w:t>
      </w:r>
      <w:r w:rsidR="00FB614E" w:rsidRPr="009721C7">
        <w:rPr>
          <w:b/>
        </w:rPr>
        <w:t xml:space="preserve">ne présente pas </w:t>
      </w:r>
      <w:r w:rsidR="004616F4">
        <w:rPr>
          <w:b/>
          <w:bCs/>
        </w:rPr>
        <w:t xml:space="preserve">de </w:t>
      </w:r>
      <w:r w:rsidR="001A3998" w:rsidRPr="009721C7">
        <w:rPr>
          <w:b/>
        </w:rPr>
        <w:t>notation</w:t>
      </w:r>
      <w:r w:rsidR="005B7D43">
        <w:rPr>
          <w:b/>
          <w:bCs/>
        </w:rPr>
        <w:t xml:space="preserve"> financière</w:t>
      </w:r>
      <w:r w:rsidR="001A3998" w:rsidRPr="009721C7">
        <w:rPr>
          <w:b/>
        </w:rPr>
        <w:t>, il</w:t>
      </w:r>
      <w:r w:rsidR="007279E4" w:rsidRPr="009721C7">
        <w:rPr>
          <w:b/>
        </w:rPr>
        <w:t xml:space="preserve"> s</w:t>
      </w:r>
      <w:r w:rsidR="00AE25CF">
        <w:rPr>
          <w:b/>
          <w:bCs/>
        </w:rPr>
        <w:t>era soumis au</w:t>
      </w:r>
      <w:r w:rsidR="004E1B23" w:rsidRPr="009721C7">
        <w:rPr>
          <w:b/>
          <w:bCs/>
        </w:rPr>
        <w:t xml:space="preserve"> </w:t>
      </w:r>
      <w:r w:rsidR="004E1B23" w:rsidRPr="009721C7">
        <w:rPr>
          <w:b/>
        </w:rPr>
        <w:t xml:space="preserve">test financier </w:t>
      </w:r>
      <w:r w:rsidR="00DE0434">
        <w:rPr>
          <w:b/>
          <w:bCs/>
        </w:rPr>
        <w:t>approfondi</w:t>
      </w:r>
      <w:r w:rsidR="004E1B23" w:rsidRPr="009721C7">
        <w:rPr>
          <w:b/>
        </w:rPr>
        <w:t>.</w:t>
      </w:r>
      <w:r w:rsidR="004E1B23">
        <w:t xml:space="preserve"> </w:t>
      </w:r>
    </w:p>
    <w:p w14:paraId="12972C7D" w14:textId="61BC8669" w:rsidR="00427D12" w:rsidRPr="00842452" w:rsidRDefault="00427D12" w:rsidP="00427D12">
      <w:pPr>
        <w:pStyle w:val="Corpsdetexte"/>
      </w:pPr>
      <w:r w:rsidRPr="00842452">
        <w:t xml:space="preserve">La CRE </w:t>
      </w:r>
      <w:r w:rsidR="00502BDE" w:rsidRPr="00842452">
        <w:t>constate</w:t>
      </w:r>
      <w:r w:rsidRPr="00842452">
        <w:t>, à l’issue de réflexions induite</w:t>
      </w:r>
      <w:r w:rsidR="00502BDE" w:rsidRPr="00842452">
        <w:t>s</w:t>
      </w:r>
      <w:r w:rsidRPr="00842452">
        <w:t xml:space="preserve"> par la tenue du guichet à blanc, que les conditions à vérifier par un document pour justifier la mobilisation des capacités financières de la société mère </w:t>
      </w:r>
      <w:r w:rsidR="006D1D03" w:rsidRPr="006D1D03">
        <w:t xml:space="preserve">ne </w:t>
      </w:r>
      <w:r w:rsidR="006D1D03">
        <w:t>sont</w:t>
      </w:r>
      <w:r w:rsidR="003547CD">
        <w:t xml:space="preserve"> pas compatibles avec la pratique </w:t>
      </w:r>
      <w:r w:rsidR="007E62F5">
        <w:t>du marché tel qu’existant actuellement en France</w:t>
      </w:r>
      <w:r w:rsidRPr="00842452">
        <w:rPr>
          <w:b/>
        </w:rPr>
        <w:t>. La CRE décide donc que les fournisseurs ne pourront en aucun cas utiliser l’intégralité des capacités financières et la notation financière de leur société mère.</w:t>
      </w:r>
      <w:r w:rsidRPr="00842452">
        <w:t xml:space="preserve"> </w:t>
      </w:r>
    </w:p>
    <w:p w14:paraId="4BABDF70" w14:textId="1C5BAA4F" w:rsidR="00336662" w:rsidRDefault="00427D12" w:rsidP="00427D12">
      <w:pPr>
        <w:pStyle w:val="Corpsdetexte"/>
      </w:pPr>
      <w:r w:rsidRPr="00842452">
        <w:t xml:space="preserve">Elle rappelle en revanche que les garanties financières à montant limité engageant la société mère au périmètre de l’ensemble des risques encourus par le fournisseur dans la fourniture du portefeuille à date pourront </w:t>
      </w:r>
      <w:r w:rsidR="000C7302" w:rsidRPr="000C7302">
        <w:t>s’ajouter aux capacités financières du fournisseur à hauteur de ce montant</w:t>
      </w:r>
      <w:r w:rsidRPr="00842452">
        <w:t xml:space="preserve">. </w:t>
      </w:r>
      <w:r w:rsidR="00313636" w:rsidRPr="00313636">
        <w:t>Les documents attestant de ces garanties, précisant notamment les montants et échéances,</w:t>
      </w:r>
      <w:r w:rsidRPr="00842452">
        <w:t xml:space="preserve"> devront être communiqués à la CRE.</w:t>
      </w:r>
    </w:p>
    <w:p w14:paraId="75BBBB82" w14:textId="1367558C" w:rsidR="00AC4715" w:rsidRPr="007F7DAF" w:rsidRDefault="00BD5AD9" w:rsidP="00960C99">
      <w:pPr>
        <w:pStyle w:val="Titre3"/>
      </w:pPr>
      <w:bookmarkStart w:id="38" w:name="_Toc232094751"/>
      <w:r>
        <w:t>Critère seuil</w:t>
      </w:r>
      <w:bookmarkEnd w:id="38"/>
    </w:p>
    <w:p w14:paraId="04DD8820" w14:textId="0A104F8A" w:rsidR="008730CC" w:rsidRDefault="003B357B" w:rsidP="003C232D">
      <w:pPr>
        <w:pStyle w:val="Corpsdetexte"/>
      </w:pPr>
      <w:r>
        <w:t xml:space="preserve">Dans le cas où le fournisseur ne respecte pas les critères </w:t>
      </w:r>
      <w:r w:rsidR="00C81E62">
        <w:t>en</w:t>
      </w:r>
      <w:r>
        <w:t xml:space="preserve"> </w:t>
      </w:r>
      <w:r w:rsidR="00C81E62">
        <w:t>couverture</w:t>
      </w:r>
      <w:r w:rsidR="00C117D6">
        <w:t>,</w:t>
      </w:r>
      <w:r w:rsidR="00C81E62">
        <w:t xml:space="preserve"> u</w:t>
      </w:r>
      <w:r w:rsidR="00767578">
        <w:t>n</w:t>
      </w:r>
      <w:r w:rsidR="00120C08">
        <w:t>e</w:t>
      </w:r>
      <w:r w:rsidR="00767578">
        <w:t xml:space="preserve"> notation </w:t>
      </w:r>
      <w:r w:rsidR="00120C08">
        <w:t xml:space="preserve">financière </w:t>
      </w:r>
      <w:r w:rsidR="003B3AAA">
        <w:t>permet</w:t>
      </w:r>
      <w:r w:rsidR="00767578">
        <w:t xml:space="preserve"> d</w:t>
      </w:r>
      <w:r w:rsidR="00EE5DA7">
        <w:t xml:space="preserve">’évaluer </w:t>
      </w:r>
      <w:r w:rsidR="008F3963">
        <w:t>sa solidité financière</w:t>
      </w:r>
      <w:r w:rsidR="00EE5DA7">
        <w:t>.</w:t>
      </w:r>
      <w:r w:rsidR="00E10AFE">
        <w:t xml:space="preserve"> </w:t>
      </w:r>
      <w:r w:rsidR="00CA59EC">
        <w:t xml:space="preserve">Si </w:t>
      </w:r>
      <w:r w:rsidR="00D93B77">
        <w:t>l</w:t>
      </w:r>
      <w:r w:rsidR="00CA59EC">
        <w:t xml:space="preserve">e seuil </w:t>
      </w:r>
      <w:r w:rsidR="00F752E2">
        <w:t xml:space="preserve">de notation </w:t>
      </w:r>
      <w:r w:rsidR="003D7F21">
        <w:t>BBB-/Baa3</w:t>
      </w:r>
      <w:r w:rsidR="00684516">
        <w:t>/BBB-</w:t>
      </w:r>
      <w:r w:rsidR="00016943">
        <w:t xml:space="preserve"> </w:t>
      </w:r>
      <w:r w:rsidR="00CA59EC">
        <w:t>est respecté, le fournisseur est soumis au test financier simplifié. E</w:t>
      </w:r>
      <w:r w:rsidR="000615AC">
        <w:t xml:space="preserve">n-deçà </w:t>
      </w:r>
      <w:r w:rsidR="00F81C1E">
        <w:t>de ce seuil</w:t>
      </w:r>
      <w:r w:rsidR="00161DAE">
        <w:t>,</w:t>
      </w:r>
      <w:r w:rsidR="006023B2">
        <w:t xml:space="preserve"> le</w:t>
      </w:r>
      <w:r w:rsidR="00161DAE">
        <w:t xml:space="preserve"> </w:t>
      </w:r>
      <w:r w:rsidR="009D7E05">
        <w:t xml:space="preserve">test financier </w:t>
      </w:r>
      <w:r w:rsidR="00DE0434">
        <w:t>approfondi</w:t>
      </w:r>
      <w:r w:rsidR="00D16872">
        <w:t xml:space="preserve"> est appliqué</w:t>
      </w:r>
      <w:r w:rsidR="009D7E05">
        <w:t xml:space="preserve">. </w:t>
      </w:r>
    </w:p>
    <w:p w14:paraId="14FE6F22" w14:textId="68DEE4A4" w:rsidR="001931F8" w:rsidRDefault="00956EA4" w:rsidP="003C232D">
      <w:pPr>
        <w:pStyle w:val="Corpsdetexte"/>
      </w:pPr>
      <w:r>
        <w:t xml:space="preserve">Ce </w:t>
      </w:r>
      <w:r w:rsidR="006654F5">
        <w:t>seuil</w:t>
      </w:r>
      <w:r w:rsidR="004E144C">
        <w:t>, qui</w:t>
      </w:r>
      <w:r w:rsidR="006654F5">
        <w:t xml:space="preserve"> </w:t>
      </w:r>
      <w:r w:rsidR="00044DD6">
        <w:t>définit</w:t>
      </w:r>
      <w:r w:rsidR="00410E28">
        <w:t xml:space="preserve"> la catégorie</w:t>
      </w:r>
      <w:r w:rsidR="006654F5">
        <w:t xml:space="preserve"> </w:t>
      </w:r>
      <w:r w:rsidR="006654F5" w:rsidRPr="00684B3C">
        <w:rPr>
          <w:i/>
        </w:rPr>
        <w:t>« investment grade »</w:t>
      </w:r>
      <w:r w:rsidR="004E144C" w:rsidRPr="00684B3C">
        <w:rPr>
          <w:i/>
        </w:rPr>
        <w:t>,</w:t>
      </w:r>
      <w:r w:rsidR="006654F5">
        <w:t xml:space="preserve"> traduit une situation financière solide qui </w:t>
      </w:r>
      <w:r w:rsidR="00F37546">
        <w:t>permet</w:t>
      </w:r>
      <w:r w:rsidR="006654F5">
        <w:t xml:space="preserve"> un accès aisé au financement et une capacité de trésorerie rapidement mobilisable en cas de besoin.  </w:t>
      </w:r>
    </w:p>
    <w:p w14:paraId="185823C1" w14:textId="77777777" w:rsidR="005B6E67" w:rsidRPr="00A02EBE" w:rsidRDefault="005B6E67" w:rsidP="003C232D">
      <w:pPr>
        <w:pStyle w:val="Corpsdetexte"/>
      </w:pPr>
    </w:p>
    <w:tbl>
      <w:tblPr>
        <w:tblW w:w="7206" w:type="dxa"/>
        <w:jc w:val="center"/>
        <w:tblCellMar>
          <w:left w:w="0" w:type="dxa"/>
          <w:right w:w="0" w:type="dxa"/>
        </w:tblCellMar>
        <w:tblLook w:val="0420" w:firstRow="1" w:lastRow="0" w:firstColumn="0" w:lastColumn="0" w:noHBand="0" w:noVBand="1"/>
      </w:tblPr>
      <w:tblGrid>
        <w:gridCol w:w="1197"/>
        <w:gridCol w:w="1998"/>
        <w:gridCol w:w="2044"/>
        <w:gridCol w:w="1967"/>
      </w:tblGrid>
      <w:tr w:rsidR="00F435C3" w:rsidRPr="00A56DE9" w14:paraId="79D4879E" w14:textId="2902C208" w:rsidTr="00960C99">
        <w:trPr>
          <w:trHeight w:val="443"/>
          <w:jc w:val="center"/>
        </w:trPr>
        <w:tc>
          <w:tcPr>
            <w:tcW w:w="1197" w:type="dxa"/>
            <w:tcBorders>
              <w:top w:val="nil"/>
              <w:left w:val="nil"/>
              <w:bottom w:val="single" w:sz="8" w:space="0" w:color="161616"/>
              <w:right w:val="single" w:sz="8" w:space="0" w:color="161616"/>
            </w:tcBorders>
            <w:tcMar>
              <w:top w:w="72" w:type="dxa"/>
              <w:left w:w="144" w:type="dxa"/>
              <w:bottom w:w="72" w:type="dxa"/>
              <w:right w:w="144" w:type="dxa"/>
            </w:tcMar>
            <w:hideMark/>
          </w:tcPr>
          <w:p w14:paraId="64EE8F2F" w14:textId="77777777" w:rsidR="00F435C3" w:rsidRPr="00A56DE9" w:rsidRDefault="00F435C3" w:rsidP="00960C99">
            <w:pPr>
              <w:pStyle w:val="Corpsdetexte"/>
              <w:spacing w:before="120"/>
              <w:jc w:val="center"/>
            </w:pPr>
          </w:p>
        </w:tc>
        <w:tc>
          <w:tcPr>
            <w:tcW w:w="1998" w:type="dxa"/>
            <w:tcBorders>
              <w:top w:val="single" w:sz="8" w:space="0" w:color="161616"/>
              <w:left w:val="single" w:sz="8" w:space="0" w:color="161616"/>
              <w:bottom w:val="single" w:sz="8" w:space="0" w:color="161616"/>
              <w:right w:val="single" w:sz="8" w:space="0" w:color="161616"/>
            </w:tcBorders>
            <w:shd w:val="clear" w:color="auto" w:fill="285F83" w:themeFill="text2"/>
            <w:tcMar>
              <w:top w:w="72" w:type="dxa"/>
              <w:left w:w="144" w:type="dxa"/>
              <w:bottom w:w="72" w:type="dxa"/>
              <w:right w:w="144" w:type="dxa"/>
            </w:tcMar>
            <w:hideMark/>
          </w:tcPr>
          <w:p w14:paraId="2EF7F73C" w14:textId="2758B6ED" w:rsidR="00F435C3" w:rsidRPr="00A56DE9" w:rsidRDefault="00F435C3">
            <w:pPr>
              <w:pStyle w:val="Corpsdetexte"/>
              <w:spacing w:before="120"/>
              <w:jc w:val="center"/>
              <w:rPr>
                <w:color w:val="FFFFFF" w:themeColor="background1"/>
              </w:rPr>
            </w:pPr>
            <w:r>
              <w:rPr>
                <w:b/>
                <w:bCs/>
                <w:color w:val="FFFFFF" w:themeColor="background1"/>
              </w:rPr>
              <w:t>S&amp;P</w:t>
            </w:r>
          </w:p>
        </w:tc>
        <w:tc>
          <w:tcPr>
            <w:tcW w:w="2044" w:type="dxa"/>
            <w:tcBorders>
              <w:top w:val="single" w:sz="8" w:space="0" w:color="161616"/>
              <w:left w:val="single" w:sz="8" w:space="0" w:color="161616"/>
              <w:bottom w:val="single" w:sz="8" w:space="0" w:color="161616"/>
              <w:right w:val="single" w:sz="8" w:space="0" w:color="161616"/>
            </w:tcBorders>
            <w:shd w:val="clear" w:color="auto" w:fill="285F83" w:themeFill="text2"/>
          </w:tcPr>
          <w:p w14:paraId="0297988D" w14:textId="729885AB" w:rsidR="00F435C3" w:rsidRPr="00A56DE9" w:rsidRDefault="00F435C3">
            <w:pPr>
              <w:pStyle w:val="Corpsdetexte"/>
              <w:spacing w:before="120"/>
              <w:jc w:val="center"/>
              <w:rPr>
                <w:b/>
                <w:bCs/>
                <w:color w:val="FFFFFF" w:themeColor="background1"/>
              </w:rPr>
            </w:pPr>
            <w:r>
              <w:rPr>
                <w:b/>
                <w:bCs/>
                <w:color w:val="FFFFFF" w:themeColor="background1"/>
              </w:rPr>
              <w:t>Moody’s</w:t>
            </w:r>
          </w:p>
        </w:tc>
        <w:tc>
          <w:tcPr>
            <w:tcW w:w="1967" w:type="dxa"/>
            <w:tcBorders>
              <w:top w:val="single" w:sz="8" w:space="0" w:color="161616"/>
              <w:left w:val="single" w:sz="8" w:space="0" w:color="161616"/>
              <w:bottom w:val="single" w:sz="8" w:space="0" w:color="161616"/>
              <w:right w:val="single" w:sz="8" w:space="0" w:color="161616"/>
            </w:tcBorders>
            <w:shd w:val="clear" w:color="auto" w:fill="285F83" w:themeFill="text2"/>
          </w:tcPr>
          <w:p w14:paraId="18072E94" w14:textId="29A99B57" w:rsidR="00F435C3" w:rsidRPr="00A56DE9" w:rsidRDefault="00F435C3">
            <w:pPr>
              <w:pStyle w:val="Corpsdetexte"/>
              <w:spacing w:before="120"/>
              <w:jc w:val="center"/>
              <w:rPr>
                <w:b/>
                <w:bCs/>
                <w:color w:val="FFFFFF" w:themeColor="background1"/>
              </w:rPr>
            </w:pPr>
            <w:r>
              <w:rPr>
                <w:b/>
                <w:bCs/>
                <w:color w:val="FFFFFF" w:themeColor="background1"/>
              </w:rPr>
              <w:t>Fitch</w:t>
            </w:r>
          </w:p>
        </w:tc>
      </w:tr>
      <w:tr w:rsidR="00F435C3" w:rsidRPr="00A56DE9" w14:paraId="0C8678FE" w14:textId="1A7D84BF" w:rsidTr="00960C99">
        <w:trPr>
          <w:trHeight w:val="1223"/>
          <w:jc w:val="center"/>
        </w:trPr>
        <w:tc>
          <w:tcPr>
            <w:tcW w:w="1197" w:type="dxa"/>
            <w:tcBorders>
              <w:top w:val="single" w:sz="8" w:space="0" w:color="161616"/>
              <w:left w:val="single" w:sz="8" w:space="0" w:color="161616"/>
              <w:bottom w:val="single" w:sz="8" w:space="0" w:color="161616"/>
              <w:right w:val="single" w:sz="8" w:space="0" w:color="161616"/>
            </w:tcBorders>
            <w:shd w:val="clear" w:color="auto" w:fill="285F83" w:themeFill="text2"/>
            <w:tcMar>
              <w:top w:w="72" w:type="dxa"/>
              <w:left w:w="144" w:type="dxa"/>
              <w:bottom w:w="72" w:type="dxa"/>
              <w:right w:w="144" w:type="dxa"/>
            </w:tcMar>
            <w:vAlign w:val="center"/>
            <w:hideMark/>
          </w:tcPr>
          <w:p w14:paraId="6963BBE5" w14:textId="0D1787DE" w:rsidR="00F435C3" w:rsidRPr="00960C99" w:rsidRDefault="00F435C3" w:rsidP="00960C99">
            <w:pPr>
              <w:pStyle w:val="Corpsdetexte"/>
              <w:spacing w:before="120"/>
              <w:jc w:val="center"/>
              <w:rPr>
                <w:b/>
                <w:color w:val="FFFFFF" w:themeColor="background1"/>
              </w:rPr>
            </w:pPr>
            <w:r w:rsidRPr="00960C99">
              <w:rPr>
                <w:b/>
                <w:color w:val="FFFFFF" w:themeColor="background1"/>
              </w:rPr>
              <w:t>Critère seuil</w:t>
            </w:r>
          </w:p>
        </w:tc>
        <w:tc>
          <w:tcPr>
            <w:tcW w:w="1998" w:type="dxa"/>
            <w:tcBorders>
              <w:top w:val="single" w:sz="8" w:space="0" w:color="161616"/>
              <w:left w:val="single" w:sz="8" w:space="0" w:color="161616"/>
              <w:bottom w:val="single" w:sz="8" w:space="0" w:color="161616"/>
              <w:right w:val="single" w:sz="8" w:space="0" w:color="161616"/>
            </w:tcBorders>
            <w:tcMar>
              <w:top w:w="72" w:type="dxa"/>
              <w:left w:w="144" w:type="dxa"/>
              <w:bottom w:w="72" w:type="dxa"/>
              <w:right w:w="144" w:type="dxa"/>
            </w:tcMar>
            <w:vAlign w:val="center"/>
            <w:hideMark/>
          </w:tcPr>
          <w:p w14:paraId="351F4AD4" w14:textId="7C54750C" w:rsidR="00F435C3" w:rsidRPr="00A56DE9" w:rsidRDefault="00F435C3" w:rsidP="00960C99">
            <w:pPr>
              <w:pStyle w:val="Corpsdetexte"/>
              <w:spacing w:before="120"/>
              <w:jc w:val="center"/>
            </w:pPr>
            <w:r>
              <w:t>BBB-</w:t>
            </w:r>
          </w:p>
        </w:tc>
        <w:tc>
          <w:tcPr>
            <w:tcW w:w="2044" w:type="dxa"/>
            <w:tcBorders>
              <w:top w:val="single" w:sz="8" w:space="0" w:color="161616"/>
              <w:left w:val="single" w:sz="8" w:space="0" w:color="161616"/>
              <w:bottom w:val="single" w:sz="8" w:space="0" w:color="161616"/>
              <w:right w:val="single" w:sz="8" w:space="0" w:color="161616"/>
            </w:tcBorders>
            <w:vAlign w:val="center"/>
          </w:tcPr>
          <w:p w14:paraId="2F8EDD6F" w14:textId="07CDEA32" w:rsidR="00F435C3" w:rsidRDefault="00F435C3" w:rsidP="00960C99">
            <w:pPr>
              <w:pStyle w:val="Corpsdetexte"/>
              <w:spacing w:before="120"/>
              <w:jc w:val="center"/>
            </w:pPr>
            <w:r>
              <w:t>Baa3</w:t>
            </w:r>
          </w:p>
        </w:tc>
        <w:tc>
          <w:tcPr>
            <w:tcW w:w="1967" w:type="dxa"/>
            <w:tcBorders>
              <w:top w:val="single" w:sz="8" w:space="0" w:color="161616"/>
              <w:left w:val="single" w:sz="8" w:space="0" w:color="161616"/>
              <w:bottom w:val="single" w:sz="8" w:space="0" w:color="161616"/>
              <w:right w:val="single" w:sz="8" w:space="0" w:color="161616"/>
            </w:tcBorders>
            <w:vAlign w:val="center"/>
          </w:tcPr>
          <w:p w14:paraId="66B3FF67" w14:textId="341F4132" w:rsidR="00F435C3" w:rsidRDefault="00F435C3" w:rsidP="00960C99">
            <w:pPr>
              <w:pStyle w:val="Corpsdetexte"/>
              <w:spacing w:before="120"/>
              <w:jc w:val="center"/>
            </w:pPr>
            <w:r>
              <w:t>BBB-</w:t>
            </w:r>
          </w:p>
        </w:tc>
      </w:tr>
    </w:tbl>
    <w:p w14:paraId="67D0DE99" w14:textId="77777777" w:rsidR="00CE74E1" w:rsidRDefault="00CE74E1" w:rsidP="003C232D">
      <w:pPr>
        <w:pStyle w:val="Corpsdetexte"/>
      </w:pPr>
    </w:p>
    <w:p w14:paraId="080C2180" w14:textId="19132EFD" w:rsidR="009E1B78" w:rsidRPr="00960C99" w:rsidRDefault="00F435C3" w:rsidP="003C232D">
      <w:pPr>
        <w:pStyle w:val="Corpsdetexte"/>
        <w:rPr>
          <w:i/>
        </w:rPr>
      </w:pPr>
      <w:r w:rsidRPr="00960C99">
        <w:rPr>
          <w:i/>
        </w:rPr>
        <w:t xml:space="preserve">NB : </w:t>
      </w:r>
      <w:r w:rsidR="006255FA" w:rsidRPr="00960C99">
        <w:rPr>
          <w:i/>
        </w:rPr>
        <w:t xml:space="preserve">Les notations </w:t>
      </w:r>
      <w:r w:rsidR="005B6E67">
        <w:rPr>
          <w:i/>
          <w:iCs/>
        </w:rPr>
        <w:t xml:space="preserve">issues </w:t>
      </w:r>
      <w:r w:rsidR="006255FA" w:rsidRPr="00960C99">
        <w:rPr>
          <w:i/>
        </w:rPr>
        <w:t xml:space="preserve">des autres agences </w:t>
      </w:r>
      <w:r w:rsidR="004B1579" w:rsidRPr="00960C99">
        <w:rPr>
          <w:i/>
        </w:rPr>
        <w:t xml:space="preserve">de notation </w:t>
      </w:r>
      <w:r w:rsidR="00FF3FD3" w:rsidRPr="00960C99">
        <w:rPr>
          <w:i/>
        </w:rPr>
        <w:t xml:space="preserve">seront mises en équivalences </w:t>
      </w:r>
    </w:p>
    <w:p w14:paraId="6C67A323" w14:textId="77777777" w:rsidR="0088133A" w:rsidRPr="003C232D" w:rsidRDefault="0088133A" w:rsidP="003C232D">
      <w:pPr>
        <w:pStyle w:val="Corpsdetexte"/>
      </w:pPr>
    </w:p>
    <w:p w14:paraId="6AC40EB3" w14:textId="56187078" w:rsidR="004C1FB1" w:rsidRDefault="004C1FB1" w:rsidP="00372EFD">
      <w:pPr>
        <w:pStyle w:val="Titre2"/>
      </w:pPr>
      <w:bookmarkStart w:id="39" w:name="_Toc232094752"/>
      <w:r>
        <w:lastRenderedPageBreak/>
        <w:t xml:space="preserve">Modalités du </w:t>
      </w:r>
      <w:r w:rsidR="00354845">
        <w:t>test financier</w:t>
      </w:r>
      <w:r>
        <w:t xml:space="preserve"> simplifié</w:t>
      </w:r>
      <w:bookmarkEnd w:id="39"/>
    </w:p>
    <w:p w14:paraId="7F6167DD" w14:textId="7C691E27" w:rsidR="009D32FA" w:rsidRPr="00431DD0" w:rsidRDefault="00DE0434" w:rsidP="000E7B3F">
      <w:pPr>
        <w:pStyle w:val="Titre3"/>
        <w:rPr>
          <w:lang w:val="fr-FR"/>
        </w:rPr>
      </w:pPr>
      <w:bookmarkStart w:id="40" w:name="_Toc232094753"/>
      <w:r w:rsidRPr="00D310FB">
        <w:t>Principes généraux</w:t>
      </w:r>
      <w:bookmarkEnd w:id="40"/>
      <w:r w:rsidRPr="00D310FB">
        <w:t xml:space="preserve"> </w:t>
      </w:r>
    </w:p>
    <w:p w14:paraId="1294B639" w14:textId="03A154CC" w:rsidR="00E73532" w:rsidRDefault="00826E0C" w:rsidP="00E73532">
      <w:pPr>
        <w:pStyle w:val="Corpsdetexte"/>
      </w:pPr>
      <w:r>
        <w:t xml:space="preserve">Cette section vise à expliciter le mode de fonctionnement du test financier simplifié, </w:t>
      </w:r>
      <w:r w:rsidR="009525BC">
        <w:t>se décrivant</w:t>
      </w:r>
      <w:r w:rsidR="00F952D6">
        <w:t xml:space="preserve"> succinctement comme </w:t>
      </w:r>
      <w:r w:rsidR="006530A9">
        <w:t xml:space="preserve">une « évaluation du risque financier borné aux volumes non couverts par le fournisseur », mise « en perspective par rapport à la structure financière de la société </w:t>
      </w:r>
      <w:r w:rsidR="00807A6B">
        <w:t>(niveau de fonds propres par exemple</w:t>
      </w:r>
      <w:r w:rsidR="00223DE6">
        <w:t>)</w:t>
      </w:r>
      <w:r w:rsidR="00807A6B">
        <w:t xml:space="preserve"> ». </w:t>
      </w:r>
    </w:p>
    <w:p w14:paraId="5B88F267" w14:textId="77777777" w:rsidR="0092132A" w:rsidRDefault="00020CD4" w:rsidP="00E73532">
      <w:pPr>
        <w:pStyle w:val="Corpsdetexte"/>
      </w:pPr>
      <w:r>
        <w:t>Ce test vise à calculer la capacité directe de l’entreprise à absorber l</w:t>
      </w:r>
      <w:r w:rsidR="006E07A7">
        <w:t xml:space="preserve">es pertes potentielles </w:t>
      </w:r>
      <w:r w:rsidR="00C5466C">
        <w:t>da</w:t>
      </w:r>
      <w:r w:rsidR="008B776D">
        <w:t xml:space="preserve">ns une configuration où </w:t>
      </w:r>
      <w:r w:rsidR="00177B23">
        <w:t>ses</w:t>
      </w:r>
      <w:r w:rsidR="008B776D">
        <w:t xml:space="preserve"> </w:t>
      </w:r>
      <w:r w:rsidR="00C5466C">
        <w:t>engagement</w:t>
      </w:r>
      <w:r w:rsidR="00177B23">
        <w:t>s</w:t>
      </w:r>
      <w:r w:rsidR="008B776D">
        <w:t xml:space="preserve"> vis-à-vis de ses clients ne sont pas </w:t>
      </w:r>
      <w:r w:rsidR="00C5466C">
        <w:t>garantis</w:t>
      </w:r>
      <w:r w:rsidR="008B776D">
        <w:t xml:space="preserve"> par sa stratégie de couverture.</w:t>
      </w:r>
      <w:r w:rsidR="00822ED3">
        <w:t xml:space="preserve"> Plus précisément, le test repose sur la comparaison d’une valeur à risque avec les métriques de capacité financière de l’opérateur en solvabilité et en liquidité. </w:t>
      </w:r>
    </w:p>
    <w:p w14:paraId="58BD27D4" w14:textId="35A533DE" w:rsidR="0092132A" w:rsidRDefault="00A258C5" w:rsidP="0092132A">
      <w:pPr>
        <w:pStyle w:val="Corpsdetexte"/>
        <w:numPr>
          <w:ilvl w:val="0"/>
          <w:numId w:val="108"/>
        </w:numPr>
      </w:pPr>
      <w:r w:rsidRPr="00842452">
        <w:rPr>
          <w:u w:val="single"/>
        </w:rPr>
        <w:t>La solvabilité</w:t>
      </w:r>
      <w:r>
        <w:t xml:space="preserve"> mesure la solidité du fournisseur vis-à-vis de la faillite</w:t>
      </w:r>
      <w:r w:rsidR="008859F9">
        <w:t xml:space="preserve"> en cas de scénario adverse et s’évalue au regard du niveau des fonds propres</w:t>
      </w:r>
      <w:r w:rsidR="00AE1A14">
        <w:t xml:space="preserve"> part du groupe</w:t>
      </w:r>
      <w:r w:rsidR="008859F9">
        <w:t xml:space="preserve">. </w:t>
      </w:r>
    </w:p>
    <w:p w14:paraId="13732545" w14:textId="66DCD40D" w:rsidR="00565A24" w:rsidRDefault="00AC5CDC" w:rsidP="00684B3C">
      <w:pPr>
        <w:pStyle w:val="Corpsdetexte"/>
        <w:numPr>
          <w:ilvl w:val="0"/>
          <w:numId w:val="108"/>
        </w:numPr>
      </w:pPr>
      <w:r w:rsidRPr="00842452">
        <w:rPr>
          <w:u w:val="single"/>
        </w:rPr>
        <w:t>La liquidit</w:t>
      </w:r>
      <w:r w:rsidR="00516CBD" w:rsidRPr="00842452">
        <w:rPr>
          <w:u w:val="single"/>
        </w:rPr>
        <w:t>é</w:t>
      </w:r>
      <w:r w:rsidR="00516CBD">
        <w:t xml:space="preserve"> traduit la capacité du fournisseur à faire face </w:t>
      </w:r>
      <w:r w:rsidR="00683C1B">
        <w:t xml:space="preserve">à ses échéances </w:t>
      </w:r>
      <w:r w:rsidR="00291996">
        <w:t xml:space="preserve">et s’évalue au regard de sa capacité de trésorerie. </w:t>
      </w:r>
    </w:p>
    <w:p w14:paraId="677005F5" w14:textId="3758271E" w:rsidR="00416CBC" w:rsidRDefault="00416CBC" w:rsidP="00416CBC">
      <w:pPr>
        <w:pStyle w:val="Corpsdetexte"/>
      </w:pPr>
      <w:r>
        <w:t xml:space="preserve">L’analyse de ces deux critères </w:t>
      </w:r>
      <w:r w:rsidR="005F64B5">
        <w:t xml:space="preserve">permet à la fois de couvrir le risque de faillite et de cessation de paiement qui peuvent survenir de façon indépendante. </w:t>
      </w:r>
    </w:p>
    <w:p w14:paraId="645C52A2" w14:textId="5EAA37C9" w:rsidR="00842F9C" w:rsidRPr="00B34E53" w:rsidRDefault="008C0EFF" w:rsidP="000E7B3F">
      <w:pPr>
        <w:pStyle w:val="Titre3"/>
      </w:pPr>
      <w:bookmarkStart w:id="41" w:name="_Toc232094754"/>
      <w:r>
        <w:t>Va</w:t>
      </w:r>
      <w:r w:rsidR="007F5FC4">
        <w:t xml:space="preserve">leur à </w:t>
      </w:r>
      <w:r w:rsidR="007F5FC4">
        <w:rPr>
          <w:bCs/>
        </w:rPr>
        <w:t>risque</w:t>
      </w:r>
      <w:bookmarkEnd w:id="41"/>
    </w:p>
    <w:p w14:paraId="5D17F813" w14:textId="4E2B5A67" w:rsidR="00020CD4" w:rsidRDefault="00BA70C4" w:rsidP="00E73532">
      <w:pPr>
        <w:pStyle w:val="Corpsdetexte"/>
      </w:pPr>
      <w:r>
        <w:t>La valeur à risque est</w:t>
      </w:r>
      <w:r w:rsidR="00EF1C26" w:rsidDel="00BA70C4">
        <w:t xml:space="preserve"> </w:t>
      </w:r>
      <w:r w:rsidR="00E3212B">
        <w:t>une métrique établissant l’exposition financière maximale</w:t>
      </w:r>
      <w:r w:rsidR="00385B72">
        <w:t xml:space="preserve"> pour une probabilité de réalisation du risque donnée.</w:t>
      </w:r>
      <w:r w:rsidR="00E3212B">
        <w:t xml:space="preserve"> </w:t>
      </w:r>
    </w:p>
    <w:p w14:paraId="5ED45A37" w14:textId="7037FE40" w:rsidR="00300088" w:rsidRPr="00BA09C1" w:rsidRDefault="004C18E3" w:rsidP="004C18E3">
      <w:pPr>
        <w:pStyle w:val="Corpsdetexte"/>
      </w:pPr>
      <w:r w:rsidRPr="00BA09C1">
        <w:t>Concrètement, la CRE utilise</w:t>
      </w:r>
      <w:r w:rsidR="00300088" w:rsidRPr="00BA09C1">
        <w:t> :</w:t>
      </w:r>
    </w:p>
    <w:p w14:paraId="493C158F" w14:textId="4DCACE97" w:rsidR="00300088" w:rsidRPr="00BA09C1" w:rsidRDefault="004C18E3" w:rsidP="00BA09C1">
      <w:pPr>
        <w:pStyle w:val="Corpsdetexte"/>
        <w:numPr>
          <w:ilvl w:val="0"/>
          <w:numId w:val="72"/>
        </w:numPr>
      </w:pPr>
      <w:proofErr w:type="gramStart"/>
      <w:r w:rsidRPr="00BA09C1">
        <w:t>les</w:t>
      </w:r>
      <w:proofErr w:type="gramEnd"/>
      <w:r w:rsidRPr="00BA09C1">
        <w:t xml:space="preserve"> volumes ouverts prévisionnels</w:t>
      </w:r>
      <w:r w:rsidR="00276F4F">
        <w:rPr>
          <w:rStyle w:val="Appelnotedebasdep"/>
        </w:rPr>
        <w:footnoteReference w:id="8"/>
      </w:r>
      <w:r w:rsidRPr="00BA09C1">
        <w:t xml:space="preserve"> calculés sur la base des données transmises par le fournisseur dans le cadre du critère en couverture, et </w:t>
      </w:r>
    </w:p>
    <w:p w14:paraId="5ADFB9C8" w14:textId="713883F7" w:rsidR="00300088" w:rsidRPr="00BA09C1" w:rsidRDefault="004C18E3" w:rsidP="00BA09C1">
      <w:pPr>
        <w:pStyle w:val="Corpsdetexte"/>
        <w:numPr>
          <w:ilvl w:val="0"/>
          <w:numId w:val="72"/>
        </w:numPr>
      </w:pPr>
      <w:proofErr w:type="gramStart"/>
      <w:r w:rsidRPr="00BA09C1">
        <w:t>des</w:t>
      </w:r>
      <w:proofErr w:type="gramEnd"/>
      <w:r w:rsidRPr="00BA09C1">
        <w:t xml:space="preserve"> scénarios de prix calibrés sur la base des caractéristiques du marché, pour établir des scénarios de pertes et profits reflétant le mark-to-market potentiel sur une durée de 1 an. </w:t>
      </w:r>
    </w:p>
    <w:p w14:paraId="7B48012A" w14:textId="27003549" w:rsidR="004C18E3" w:rsidRPr="00BA09C1" w:rsidRDefault="004C18E3" w:rsidP="004C18E3">
      <w:pPr>
        <w:pStyle w:val="Corpsdetexte"/>
      </w:pPr>
      <w:r w:rsidRPr="00BA09C1">
        <w:t xml:space="preserve">La CRE </w:t>
      </w:r>
      <w:r w:rsidR="00474702">
        <w:t>fixe</w:t>
      </w:r>
      <w:r w:rsidRPr="00BA09C1">
        <w:t xml:space="preserve"> </w:t>
      </w:r>
      <w:r w:rsidR="00474702">
        <w:t>la probabilité de réalisation d</w:t>
      </w:r>
      <w:r w:rsidR="00810A5A">
        <w:t>e</w:t>
      </w:r>
      <w:r w:rsidR="00474702">
        <w:t xml:space="preserve"> la</w:t>
      </w:r>
      <w:r w:rsidRPr="00BA09C1">
        <w:t xml:space="preserve"> valeur à risque </w:t>
      </w:r>
      <w:r w:rsidR="00810A5A" w:rsidRPr="00842452">
        <w:t>à</w:t>
      </w:r>
      <w:r w:rsidRPr="00842452">
        <w:t xml:space="preserve"> </w:t>
      </w:r>
      <w:r w:rsidR="000F61BD" w:rsidRPr="00842452">
        <w:t>2</w:t>
      </w:r>
      <w:r w:rsidRPr="00842452">
        <w:t>%</w:t>
      </w:r>
      <w:r w:rsidR="00810A5A" w:rsidRPr="00842452">
        <w:t>.</w:t>
      </w:r>
      <w:r w:rsidR="00290F06">
        <w:t xml:space="preserve"> Autrement dit, la </w:t>
      </w:r>
      <w:r w:rsidR="003927D8">
        <w:t>valeur à risque</w:t>
      </w:r>
      <w:r w:rsidR="00607F71">
        <w:t xml:space="preserve"> </w:t>
      </w:r>
      <w:r w:rsidR="00A759A9">
        <w:t xml:space="preserve">correspondra à une exposition plus </w:t>
      </w:r>
      <w:r w:rsidR="00607F71">
        <w:t>dé</w:t>
      </w:r>
      <w:r w:rsidR="00A759A9">
        <w:t xml:space="preserve">favorable </w:t>
      </w:r>
      <w:r w:rsidR="00A8582D">
        <w:t>que 98% des scénarios d’expositions financières modélisés</w:t>
      </w:r>
      <w:r w:rsidR="00A759A9">
        <w:t xml:space="preserve">, mais </w:t>
      </w:r>
      <w:r w:rsidR="00607F71">
        <w:t>plus</w:t>
      </w:r>
      <w:r w:rsidR="00A759A9">
        <w:t xml:space="preserve"> favorable que les 2% restants. </w:t>
      </w:r>
    </w:p>
    <w:p w14:paraId="3294C398" w14:textId="2271FB26" w:rsidR="00C15423" w:rsidRDefault="00FE2465" w:rsidP="00BA09C1">
      <w:pPr>
        <w:pStyle w:val="Titre3"/>
      </w:pPr>
      <w:bookmarkStart w:id="42" w:name="_Toc232094755"/>
      <w:r>
        <w:t xml:space="preserve">Métriques </w:t>
      </w:r>
      <w:r w:rsidR="00C15423" w:rsidDel="00422EA5">
        <w:t xml:space="preserve">de </w:t>
      </w:r>
      <w:r w:rsidR="00DB4623">
        <w:t>capacité financière</w:t>
      </w:r>
      <w:bookmarkEnd w:id="42"/>
      <w:r w:rsidR="00DB4623">
        <w:t xml:space="preserve"> </w:t>
      </w:r>
    </w:p>
    <w:p w14:paraId="72C84F8D" w14:textId="1A9DCB81" w:rsidR="008C0EFF" w:rsidRPr="00BA09C1" w:rsidRDefault="008C0EFF" w:rsidP="00E73532">
      <w:pPr>
        <w:pStyle w:val="Corpsdetexte"/>
        <w:rPr>
          <w:b/>
        </w:rPr>
      </w:pPr>
      <w:r w:rsidRPr="00BA09C1">
        <w:rPr>
          <w:b/>
        </w:rPr>
        <w:t>Solvabilité </w:t>
      </w:r>
    </w:p>
    <w:p w14:paraId="039E5AE5" w14:textId="41871979" w:rsidR="0077137D" w:rsidRDefault="00E71E2E" w:rsidP="00E73532">
      <w:pPr>
        <w:pStyle w:val="Corpsdetexte"/>
      </w:pPr>
      <w:r>
        <w:t xml:space="preserve">La solvabilité </w:t>
      </w:r>
      <w:r w:rsidR="004A76F7">
        <w:t xml:space="preserve">du fournisseur </w:t>
      </w:r>
      <w:r w:rsidR="00DD6CEE">
        <w:t xml:space="preserve">est appréciée au regard de son niveau de fonds propres </w:t>
      </w:r>
      <w:r w:rsidR="002E3B6B">
        <w:t>part du groupe</w:t>
      </w:r>
      <w:r w:rsidR="00DD6CEE">
        <w:t xml:space="preserve"> </w:t>
      </w:r>
      <w:r w:rsidR="00DD6CEE" w:rsidRPr="00F155CA">
        <w:t>(</w:t>
      </w:r>
      <w:r w:rsidR="00DD6CEE" w:rsidRPr="00842452">
        <w:t>cf. annexe</w:t>
      </w:r>
      <w:r w:rsidR="00450B4D" w:rsidRPr="00842452">
        <w:t xml:space="preserve">s </w:t>
      </w:r>
      <w:r w:rsidR="005828F2" w:rsidRPr="00842452">
        <w:t>3</w:t>
      </w:r>
      <w:r w:rsidR="009525BC" w:rsidRPr="00842452">
        <w:t xml:space="preserve">a </w:t>
      </w:r>
      <w:r w:rsidR="00450B4D" w:rsidRPr="00842452">
        <w:t xml:space="preserve">et </w:t>
      </w:r>
      <w:r w:rsidR="005828F2" w:rsidRPr="00842452">
        <w:t>3</w:t>
      </w:r>
      <w:r w:rsidR="00450B4D" w:rsidRPr="00842452">
        <w:t>b</w:t>
      </w:r>
      <w:r w:rsidR="00DD6CEE" w:rsidRPr="00F155CA">
        <w:t xml:space="preserve">). </w:t>
      </w:r>
      <w:r w:rsidR="00840E48" w:rsidRPr="00F155CA">
        <w:t>Les</w:t>
      </w:r>
      <w:r w:rsidR="00B473E3">
        <w:t xml:space="preserve"> p</w:t>
      </w:r>
      <w:r w:rsidR="00840E48">
        <w:t xml:space="preserve">assifs tels que la dette hybride sont pris en compte </w:t>
      </w:r>
      <w:r w:rsidR="00B473E3">
        <w:t>via une pondération</w:t>
      </w:r>
      <w:r w:rsidR="00840E48">
        <w:t xml:space="preserve"> appropriée.</w:t>
      </w:r>
    </w:p>
    <w:p w14:paraId="168A42BC" w14:textId="7E1C87FE" w:rsidR="008C0EFF" w:rsidRPr="00BA09C1" w:rsidRDefault="008C0EFF" w:rsidP="00E73532">
      <w:pPr>
        <w:pStyle w:val="Corpsdetexte"/>
        <w:rPr>
          <w:b/>
        </w:rPr>
      </w:pPr>
      <w:r w:rsidRPr="00BA09C1">
        <w:rPr>
          <w:b/>
        </w:rPr>
        <w:t>Liquidité </w:t>
      </w:r>
    </w:p>
    <w:p w14:paraId="2A56DC42" w14:textId="630E781F" w:rsidR="00B12C10" w:rsidRDefault="003E1C23" w:rsidP="00842452">
      <w:pPr>
        <w:pStyle w:val="Corpsdetexte"/>
      </w:pPr>
      <w:r>
        <w:t>La liquidité représente la somme de la trésorerie et</w:t>
      </w:r>
      <w:r w:rsidR="007E6952">
        <w:t xml:space="preserve"> des</w:t>
      </w:r>
      <w:r>
        <w:t xml:space="preserve"> équivalents de trésorerie telle que </w:t>
      </w:r>
      <w:r w:rsidR="0078777A">
        <w:t>renseignée</w:t>
      </w:r>
      <w:r>
        <w:t xml:space="preserve"> au bilan et </w:t>
      </w:r>
      <w:r w:rsidR="008557D6">
        <w:t>les</w:t>
      </w:r>
      <w:r>
        <w:t xml:space="preserve"> </w:t>
      </w:r>
      <w:r w:rsidR="004F03B4">
        <w:t>capaci</w:t>
      </w:r>
      <w:r w:rsidR="00FA3C42">
        <w:t>tés de</w:t>
      </w:r>
      <w:r>
        <w:t xml:space="preserve"> trésorerie mobilisable (ex : </w:t>
      </w:r>
      <w:r w:rsidR="00404D6E">
        <w:t>facilités</w:t>
      </w:r>
      <w:r>
        <w:t xml:space="preserve"> de crédit, programme d’affacturage, </w:t>
      </w:r>
      <w:r w:rsidR="00080AE1" w:rsidRPr="00080AE1">
        <w:t>convention de trésorerie intra-groupe</w:t>
      </w:r>
      <w:r>
        <w:t>…).</w:t>
      </w:r>
      <w:r w:rsidR="004C0ED5">
        <w:t xml:space="preserve"> </w:t>
      </w:r>
    </w:p>
    <w:p w14:paraId="5C2CF164" w14:textId="3D231DD8" w:rsidR="00F54C2F" w:rsidRDefault="001062EE" w:rsidP="00B12C10">
      <w:pPr>
        <w:pStyle w:val="Corpsdetexte"/>
      </w:pPr>
      <w:r>
        <w:t>La CRE prend également en compte les conventions de trésorerie entre les fournisseurs et une ou plusieurs</w:t>
      </w:r>
      <w:r w:rsidR="0025613F">
        <w:t xml:space="preserve"> société</w:t>
      </w:r>
      <w:r w:rsidR="00671FCF">
        <w:t>s</w:t>
      </w:r>
      <w:r w:rsidR="0025613F">
        <w:t xml:space="preserve"> </w:t>
      </w:r>
      <w:r w:rsidR="00671FCF">
        <w:t>du même groupe</w:t>
      </w:r>
      <w:r w:rsidR="00C14E38">
        <w:t xml:space="preserve"> ainsi que les</w:t>
      </w:r>
      <w:r w:rsidR="00F54C2F">
        <w:t xml:space="preserve"> garanties </w:t>
      </w:r>
      <w:r w:rsidR="00F42E95">
        <w:t>(</w:t>
      </w:r>
      <w:proofErr w:type="gramStart"/>
      <w:r w:rsidR="00F42E95">
        <w:t>ex:</w:t>
      </w:r>
      <w:proofErr w:type="gramEnd"/>
      <w:r w:rsidR="00F42E95">
        <w:t xml:space="preserve"> </w:t>
      </w:r>
      <w:r w:rsidR="00BE6166">
        <w:t>garanties</w:t>
      </w:r>
      <w:r w:rsidR="008F5563">
        <w:t xml:space="preserve"> maison mère</w:t>
      </w:r>
      <w:r w:rsidR="00BE6166">
        <w:t xml:space="preserve">) </w:t>
      </w:r>
      <w:r w:rsidR="00F54C2F">
        <w:t xml:space="preserve">dans </w:t>
      </w:r>
      <w:r w:rsidR="00C14E38">
        <w:t>la mesure</w:t>
      </w:r>
      <w:r w:rsidR="00F42E95">
        <w:t xml:space="preserve"> où </w:t>
      </w:r>
      <w:r w:rsidR="00C14E38">
        <w:t xml:space="preserve">elles sont pertinentes </w:t>
      </w:r>
      <w:r w:rsidR="00482E8A">
        <w:t>pour l</w:t>
      </w:r>
      <w:r w:rsidR="00DF1650">
        <w:t>’</w:t>
      </w:r>
      <w:r w:rsidR="00C14E38">
        <w:t>approvisionnement en énergie.</w:t>
      </w:r>
    </w:p>
    <w:p w14:paraId="64524F92" w14:textId="77777777" w:rsidR="009E27CB" w:rsidRDefault="009E27CB" w:rsidP="00E73532">
      <w:pPr>
        <w:pStyle w:val="Corpsdetexte"/>
      </w:pPr>
    </w:p>
    <w:p w14:paraId="3CF4BEC3" w14:textId="459A28A2" w:rsidR="007A706A" w:rsidRPr="00BA4087" w:rsidRDefault="00F87718" w:rsidP="00BA09C1">
      <w:pPr>
        <w:pStyle w:val="Titre3"/>
        <w:rPr>
          <w:bCs/>
        </w:rPr>
      </w:pPr>
      <w:bookmarkStart w:id="43" w:name="_Toc232094756"/>
      <w:r>
        <w:t>Critères</w:t>
      </w:r>
      <w:r w:rsidR="0077137D">
        <w:t xml:space="preserve"> </w:t>
      </w:r>
      <w:r w:rsidR="00025478" w:rsidRPr="00BA4087">
        <w:rPr>
          <w:bCs/>
        </w:rPr>
        <w:t>du test</w:t>
      </w:r>
      <w:bookmarkEnd w:id="43"/>
    </w:p>
    <w:p w14:paraId="6A7A4D50" w14:textId="082D2713" w:rsidR="00224079" w:rsidRPr="00224079" w:rsidDel="004C18E3" w:rsidRDefault="000E0C0D" w:rsidP="002F4B10">
      <w:pPr>
        <w:pStyle w:val="Corpsdetexte"/>
      </w:pPr>
      <w:r>
        <w:t>Le</w:t>
      </w:r>
      <w:r w:rsidR="0033375C">
        <w:t>s</w:t>
      </w:r>
      <w:r>
        <w:t xml:space="preserve"> montant</w:t>
      </w:r>
      <w:r w:rsidR="0033375C">
        <w:t>s</w:t>
      </w:r>
      <w:r>
        <w:t xml:space="preserve"> de fonds propres </w:t>
      </w:r>
      <w:r w:rsidR="00B136ED">
        <w:t xml:space="preserve">part du groupe </w:t>
      </w:r>
      <w:r w:rsidR="00F9381E">
        <w:t>et de</w:t>
      </w:r>
      <w:r w:rsidR="0033375C">
        <w:t xml:space="preserve"> liquidités </w:t>
      </w:r>
      <w:r w:rsidR="00F9381E">
        <w:t>d</w:t>
      </w:r>
      <w:r w:rsidR="00FC1F6A">
        <w:t>oiven</w:t>
      </w:r>
      <w:r w:rsidR="0033375C">
        <w:t xml:space="preserve">t </w:t>
      </w:r>
      <w:r w:rsidR="00517D6B">
        <w:t xml:space="preserve">chacun </w:t>
      </w:r>
      <w:r w:rsidR="0033375C">
        <w:t xml:space="preserve">être </w:t>
      </w:r>
      <w:r w:rsidR="00E86A20">
        <w:t>supérieurs</w:t>
      </w:r>
      <w:r w:rsidR="00F9381E">
        <w:t xml:space="preserve"> à la valeur à risque</w:t>
      </w:r>
      <w:r w:rsidR="00D16CAF">
        <w:t>.</w:t>
      </w:r>
    </w:p>
    <w:p w14:paraId="012074B7" w14:textId="68551EC0" w:rsidR="00CF0339" w:rsidRDefault="00E07252" w:rsidP="00A76B9A">
      <w:pPr>
        <w:pStyle w:val="Corpsdetexte"/>
      </w:pPr>
      <w:r>
        <w:lastRenderedPageBreak/>
        <w:t xml:space="preserve">Ainsi les deux critères </w:t>
      </w:r>
      <w:r w:rsidR="00FF79B9">
        <w:t xml:space="preserve">à respecter </w:t>
      </w:r>
      <w:r>
        <w:t>peuvent se lire comme :</w:t>
      </w:r>
    </w:p>
    <w:p w14:paraId="6A1E28D8" w14:textId="5D2B315B" w:rsidR="00E07252" w:rsidRPr="00842452" w:rsidRDefault="00120A03" w:rsidP="000E4EF1">
      <w:pPr>
        <w:pStyle w:val="Corpsdetexte"/>
        <w:jc w:val="center"/>
        <w:rPr>
          <w:rFonts w:eastAsiaTheme="minorEastAsia"/>
          <w:lang w:val="en-GB"/>
        </w:rPr>
      </w:pPr>
      <m:oMathPara>
        <m:oMath>
          <m:r>
            <w:rPr>
              <w:rFonts w:ascii="Cambria Math" w:hAnsi="Cambria Math"/>
            </w:rPr>
            <m:t>C</m:t>
          </m:r>
          <m:r>
            <w:rPr>
              <w:rFonts w:ascii="Cambria Math" w:hAnsi="Cambria Math"/>
              <w:lang w:val="en-GB"/>
            </w:rPr>
            <m:t xml:space="preserve">1 : </m:t>
          </m:r>
          <m:r>
            <w:rPr>
              <w:rFonts w:ascii="Cambria Math" w:hAnsi="Cambria Math"/>
            </w:rPr>
            <m:t>Valeur</m:t>
          </m:r>
          <m:r>
            <w:rPr>
              <w:rFonts w:ascii="Cambria Math" w:hAnsi="Cambria Math"/>
              <w:lang w:val="en-GB"/>
            </w:rPr>
            <m:t xml:space="preserve"> à </m:t>
          </m:r>
          <m:r>
            <w:rPr>
              <w:rFonts w:ascii="Cambria Math" w:hAnsi="Cambria Math"/>
            </w:rPr>
            <m:t>risque</m:t>
          </m:r>
          <m:r>
            <w:rPr>
              <w:rFonts w:ascii="Cambria Math" w:hAnsi="Cambria Math"/>
              <w:lang w:val="en-GB"/>
            </w:rPr>
            <m:t xml:space="preserve">&lt; </m:t>
          </m:r>
          <m:r>
            <w:rPr>
              <w:rFonts w:ascii="Cambria Math" w:hAnsi="Cambria Math"/>
            </w:rPr>
            <m:t>Fonds</m:t>
          </m:r>
          <m:r>
            <w:rPr>
              <w:rFonts w:ascii="Cambria Math" w:hAnsi="Cambria Math"/>
              <w:lang w:val="en-GB"/>
            </w:rPr>
            <m:t xml:space="preserve"> </m:t>
          </m:r>
          <m:r>
            <w:rPr>
              <w:rFonts w:ascii="Cambria Math" w:hAnsi="Cambria Math"/>
            </w:rPr>
            <m:t>Propres</m:t>
          </m:r>
          <m:r>
            <w:rPr>
              <w:rFonts w:ascii="Cambria Math" w:hAnsi="Cambria Math"/>
              <w:lang w:val="en-GB"/>
            </w:rPr>
            <m:t xml:space="preserve"> </m:t>
          </m:r>
          <m:r>
            <w:rPr>
              <w:rFonts w:ascii="Cambria Math" w:hAnsi="Cambria Math"/>
            </w:rPr>
            <m:t>part</m:t>
          </m:r>
          <m:r>
            <w:rPr>
              <w:rFonts w:ascii="Cambria Math" w:hAnsi="Cambria Math"/>
              <w:lang w:val="en-GB"/>
            </w:rPr>
            <m:t xml:space="preserve"> </m:t>
          </m:r>
          <m:r>
            <w:rPr>
              <w:rFonts w:ascii="Cambria Math" w:hAnsi="Cambria Math"/>
            </w:rPr>
            <m:t>du</m:t>
          </m:r>
          <m:r>
            <w:rPr>
              <w:rFonts w:ascii="Cambria Math" w:hAnsi="Cambria Math"/>
              <w:lang w:val="en-GB"/>
            </w:rPr>
            <m:t xml:space="preserve"> </m:t>
          </m:r>
          <m:r>
            <w:rPr>
              <w:rFonts w:ascii="Cambria Math" w:hAnsi="Cambria Math"/>
            </w:rPr>
            <m:t>groupe</m:t>
          </m:r>
        </m:oMath>
      </m:oMathPara>
    </w:p>
    <w:p w14:paraId="5FD2F210" w14:textId="4CBAFC94" w:rsidR="00B53851" w:rsidRDefault="000E4EF1" w:rsidP="000E4EF1">
      <w:pPr>
        <w:pStyle w:val="Corpsdetexte"/>
        <w:jc w:val="center"/>
        <w:rPr>
          <w:rFonts w:eastAsiaTheme="minorEastAsia"/>
        </w:rPr>
      </w:pPr>
      <w:r w:rsidRPr="00842452">
        <w:rPr>
          <w:rFonts w:eastAsiaTheme="minorEastAsia"/>
          <w:lang w:val="en-GB"/>
        </w:rPr>
        <w:t xml:space="preserve"> </w:t>
      </w:r>
      <m:oMath>
        <m:r>
          <w:rPr>
            <w:rFonts w:ascii="Cambria Math" w:eastAsiaTheme="minorEastAsia" w:hAnsi="Cambria Math"/>
          </w:rPr>
          <m:t xml:space="preserve">C2 : </m:t>
        </m:r>
        <m:r>
          <w:rPr>
            <w:rFonts w:ascii="Cambria Math" w:hAnsi="Cambria Math"/>
          </w:rPr>
          <m:t>Valeur à risque&lt;Liquidités</m:t>
        </m:r>
      </m:oMath>
    </w:p>
    <w:p w14:paraId="6E0D0E74" w14:textId="77777777" w:rsidR="000856CC" w:rsidRDefault="000856CC" w:rsidP="000E4EF1">
      <w:pPr>
        <w:pStyle w:val="Corpsdetexte"/>
        <w:jc w:val="center"/>
        <w:rPr>
          <w:rFonts w:eastAsiaTheme="minorEastAsia"/>
        </w:rPr>
      </w:pPr>
    </w:p>
    <w:p w14:paraId="2B711A5E" w14:textId="44D8ED13" w:rsidR="001358E3" w:rsidRDefault="004C1FB1" w:rsidP="00372EFD">
      <w:pPr>
        <w:pStyle w:val="Titre2"/>
      </w:pPr>
      <w:bookmarkStart w:id="44" w:name="_Toc232094757"/>
      <w:r>
        <w:t xml:space="preserve">Modalités du test </w:t>
      </w:r>
      <w:r w:rsidR="00354845">
        <w:t xml:space="preserve">financier </w:t>
      </w:r>
      <w:r w:rsidR="00DE0434">
        <w:t>approfondi</w:t>
      </w:r>
      <w:bookmarkEnd w:id="44"/>
    </w:p>
    <w:p w14:paraId="23E46EB0" w14:textId="77777777" w:rsidR="00D310FB" w:rsidRPr="00266778" w:rsidRDefault="00D310FB" w:rsidP="00D310FB">
      <w:pPr>
        <w:pStyle w:val="Titre3"/>
      </w:pPr>
      <w:bookmarkStart w:id="45" w:name="_Toc232094758"/>
      <w:r>
        <w:t>P</w:t>
      </w:r>
      <w:r w:rsidRPr="00B1707D">
        <w:t>rincipes généraux</w:t>
      </w:r>
      <w:bookmarkEnd w:id="45"/>
    </w:p>
    <w:p w14:paraId="14F6BBB2" w14:textId="333C1BB8" w:rsidR="00585D08" w:rsidRDefault="00792678" w:rsidP="007020B1">
      <w:pPr>
        <w:pStyle w:val="Corpsdetexte"/>
      </w:pPr>
      <w:r>
        <w:t xml:space="preserve">Le test financier </w:t>
      </w:r>
      <w:r w:rsidR="00DE0434">
        <w:t>approfondi</w:t>
      </w:r>
      <w:r>
        <w:t xml:space="preserve"> est mis en œuvre </w:t>
      </w:r>
      <w:r w:rsidR="00BF2D7B">
        <w:t>d</w:t>
      </w:r>
      <w:r w:rsidR="000C495D">
        <w:t xml:space="preserve">ans le cas où le fournisseur ne respectant pas le critère en couverture </w:t>
      </w:r>
      <w:r w:rsidR="00FF79B9">
        <w:t>n’a pas de</w:t>
      </w:r>
      <w:r w:rsidR="00E269A0">
        <w:t xml:space="preserve"> notation financière</w:t>
      </w:r>
      <w:r w:rsidR="00BF2D7B">
        <w:t xml:space="preserve"> ou fournit une notation financière ne</w:t>
      </w:r>
      <w:r w:rsidR="00E269A0">
        <w:t xml:space="preserve"> respectant</w:t>
      </w:r>
      <w:r w:rsidR="002B5521">
        <w:t xml:space="preserve"> pas</w:t>
      </w:r>
      <w:r w:rsidR="00E269A0">
        <w:t xml:space="preserve"> les niveaux d’exigence fixés </w:t>
      </w:r>
      <w:r w:rsidR="00E269A0" w:rsidRPr="00C340FC">
        <w:t>en 4.2</w:t>
      </w:r>
      <w:r w:rsidR="0083674A" w:rsidRPr="00C340FC">
        <w:t>.</w:t>
      </w:r>
      <w:r w:rsidR="0083674A">
        <w:t xml:space="preserve"> </w:t>
      </w:r>
    </w:p>
    <w:p w14:paraId="7D1A5097" w14:textId="607D2BBB" w:rsidR="009A5179" w:rsidRDefault="009525BC" w:rsidP="007020B1">
      <w:pPr>
        <w:pStyle w:val="Corpsdetexte"/>
      </w:pPr>
      <w:r>
        <w:t>L</w:t>
      </w:r>
      <w:r w:rsidR="00A535B4">
        <w:t>es grands principes de</w:t>
      </w:r>
      <w:r w:rsidR="00773DC3">
        <w:t xml:space="preserve"> ce test de résistance</w:t>
      </w:r>
      <w:r>
        <w:t xml:space="preserve"> impliquent</w:t>
      </w:r>
      <w:r w:rsidR="00DB6958">
        <w:t xml:space="preserve"> </w:t>
      </w:r>
      <w:r w:rsidR="00E21F79">
        <w:t>une modélisation fine du compte de résultat et des flux de trésorerie du fournisseur</w:t>
      </w:r>
      <w:r w:rsidR="00F63035">
        <w:t xml:space="preserve">, afin d’évaluer </w:t>
      </w:r>
      <w:r w:rsidR="00E63AA8">
        <w:t>la capacité de réaction de la société à de multiples chocs cumulatifs ou non (chocs exogènes sur les prix de gros, vague de froid impactant le niveau des consommations, etc.)</w:t>
      </w:r>
      <w:r w:rsidR="004B5757">
        <w:t> »</w:t>
      </w:r>
      <w:r w:rsidR="00BB7C07">
        <w:t>.</w:t>
      </w:r>
    </w:p>
    <w:p w14:paraId="682E4805" w14:textId="22B5258A" w:rsidR="005B6D02" w:rsidRDefault="009525BC" w:rsidP="00431DD0">
      <w:pPr>
        <w:pStyle w:val="Corpsdetexte"/>
        <w:rPr>
          <w:b/>
          <w:bCs/>
        </w:rPr>
      </w:pPr>
      <w:r>
        <w:t>L</w:t>
      </w:r>
      <w:r w:rsidR="00950487" w:rsidRPr="00950487">
        <w:t xml:space="preserve">a </w:t>
      </w:r>
      <w:r w:rsidR="00950487">
        <w:t xml:space="preserve">CRE retient une </w:t>
      </w:r>
      <w:r w:rsidR="00950487" w:rsidRPr="00950487">
        <w:t xml:space="preserve">maille trimestrielle pour l’année N. Les états financiers sont également </w:t>
      </w:r>
      <w:r w:rsidR="00D424DC">
        <w:t>projetés</w:t>
      </w:r>
      <w:r w:rsidR="00D424DC" w:rsidRPr="00950487">
        <w:t xml:space="preserve"> </w:t>
      </w:r>
      <w:r w:rsidR="00950487" w:rsidRPr="00950487">
        <w:t xml:space="preserve">au 31/12 de l’année N+1 pour évaluer le respect des critères de liquidité et de solvabilité dans le temps. </w:t>
      </w:r>
    </w:p>
    <w:p w14:paraId="0DADC101" w14:textId="1A6DF0BB" w:rsidR="007B3ADF" w:rsidRPr="007020B1" w:rsidRDefault="003246C9" w:rsidP="00D1725D">
      <w:pPr>
        <w:pStyle w:val="Corpsdetexte"/>
      </w:pPr>
      <w:r>
        <w:t>L</w:t>
      </w:r>
      <w:r w:rsidR="007B3ADF">
        <w:t xml:space="preserve">e test financier approfondi s’appuie sur une approche scénarisée plus étendue que celle du test simplifié. Il comporte six scénarios distincts dont les impacts financiers sont évalués au regard des </w:t>
      </w:r>
      <w:r w:rsidR="0004276E">
        <w:t xml:space="preserve">mêmes </w:t>
      </w:r>
      <w:r w:rsidR="007B3ADF">
        <w:t>métriques de liquidité et de solvabilité</w:t>
      </w:r>
      <w:r w:rsidR="00C13962">
        <w:t xml:space="preserve"> </w:t>
      </w:r>
      <w:r w:rsidR="007B3ADF">
        <w:t>des fournisseurs</w:t>
      </w:r>
      <w:r w:rsidR="0004276E">
        <w:t xml:space="preserve"> que pour le test financier simplifié</w:t>
      </w:r>
      <w:r w:rsidR="0015215D">
        <w:t xml:space="preserve"> (cf. </w:t>
      </w:r>
      <w:r w:rsidR="0004276E" w:rsidRPr="00842452">
        <w:t>4.3.3</w:t>
      </w:r>
      <w:r w:rsidR="0004276E" w:rsidRPr="00F155CA">
        <w:t>)</w:t>
      </w:r>
      <w:r w:rsidR="007B3ADF" w:rsidRPr="00F155CA">
        <w:t>. </w:t>
      </w:r>
      <w:r w:rsidR="003B48D7" w:rsidRPr="00F155CA">
        <w:t>Ces scénarios</w:t>
      </w:r>
      <w:r w:rsidR="003B48D7">
        <w:t xml:space="preserve"> sont paramétrés </w:t>
      </w:r>
      <w:r w:rsidR="00482E15">
        <w:t>et appliqués de la même façon à l’ensemble des fournisseurs soumis à ce test.</w:t>
      </w:r>
      <w:r w:rsidR="007B3ADF">
        <w:t>  </w:t>
      </w:r>
    </w:p>
    <w:p w14:paraId="4865EB40" w14:textId="3D90CDC5" w:rsidR="00FD08D4" w:rsidRDefault="00FD08D4" w:rsidP="00FD08D4">
      <w:pPr>
        <w:pStyle w:val="Titre3"/>
      </w:pPr>
      <w:bookmarkStart w:id="46" w:name="_Toc232094759"/>
      <w:r>
        <w:t>Scénarios à tester</w:t>
      </w:r>
      <w:bookmarkEnd w:id="46"/>
      <w:r w:rsidR="00770D72">
        <w:t xml:space="preserve"> </w:t>
      </w:r>
    </w:p>
    <w:p w14:paraId="660247FF" w14:textId="0E85B4E2" w:rsidR="00E47C11" w:rsidRDefault="008B24B8" w:rsidP="00E47C11">
      <w:pPr>
        <w:pStyle w:val="Corpsdetexte"/>
      </w:pPr>
      <w:r>
        <w:t xml:space="preserve">Chaque scénario consiste en une </w:t>
      </w:r>
      <w:r w:rsidR="000226C3">
        <w:t xml:space="preserve">situation de </w:t>
      </w:r>
      <w:r w:rsidR="003154A5">
        <w:t xml:space="preserve">crise </w:t>
      </w:r>
      <w:r w:rsidR="00B34F20">
        <w:t xml:space="preserve">affectant </w:t>
      </w:r>
      <w:r w:rsidR="003154A5">
        <w:t xml:space="preserve">l’activité des fournisseurs. </w:t>
      </w:r>
      <w:r w:rsidR="008826E1">
        <w:t>Concrètement</w:t>
      </w:r>
      <w:r w:rsidR="5B38031E">
        <w:t>,</w:t>
      </w:r>
      <w:r w:rsidR="1C39A629">
        <w:t xml:space="preserve"> </w:t>
      </w:r>
      <w:r w:rsidR="008826E1">
        <w:t>c</w:t>
      </w:r>
      <w:r w:rsidR="00631A60">
        <w:t>ertains</w:t>
      </w:r>
      <w:r w:rsidR="00240632">
        <w:t xml:space="preserve"> </w:t>
      </w:r>
      <w:r w:rsidR="001B6609">
        <w:t>postes</w:t>
      </w:r>
      <w:r w:rsidR="00CB0710">
        <w:t xml:space="preserve"> du </w:t>
      </w:r>
      <w:r w:rsidR="009E47F6">
        <w:t xml:space="preserve">plan d’affaires </w:t>
      </w:r>
      <w:r w:rsidR="001627B5">
        <w:t xml:space="preserve">sont </w:t>
      </w:r>
      <w:r w:rsidR="00CA4454">
        <w:t xml:space="preserve">modifiés pour représenter </w:t>
      </w:r>
      <w:r w:rsidR="0074048E">
        <w:t>ces</w:t>
      </w:r>
      <w:r w:rsidR="00CA4454">
        <w:t xml:space="preserve"> situation</w:t>
      </w:r>
      <w:r w:rsidR="0074048E">
        <w:t>s</w:t>
      </w:r>
      <w:r w:rsidR="00205105">
        <w:t xml:space="preserve">. </w:t>
      </w:r>
    </w:p>
    <w:p w14:paraId="75D4847E" w14:textId="16FAC9AB" w:rsidR="003A5067" w:rsidRDefault="0095394A" w:rsidP="003A5067">
      <w:pPr>
        <w:pStyle w:val="Corpsdetexte"/>
      </w:pPr>
      <w:r>
        <w:t>L</w:t>
      </w:r>
      <w:r w:rsidR="009A1A47">
        <w:t>e tableau ci-dessous précise l</w:t>
      </w:r>
      <w:r>
        <w:t>eur intitulé, le</w:t>
      </w:r>
      <w:r w:rsidR="006E7F35">
        <w:t xml:space="preserve">ur description ainsi que les </w:t>
      </w:r>
      <w:r w:rsidR="001B4138">
        <w:t xml:space="preserve">variables </w:t>
      </w:r>
      <w:r w:rsidR="000C40A1">
        <w:t>modifi</w:t>
      </w:r>
      <w:r w:rsidR="001B4138">
        <w:t>ées</w:t>
      </w:r>
      <w:r w:rsidR="009A1A47">
        <w:t>.</w:t>
      </w:r>
      <w:r w:rsidR="006F0892">
        <w:t xml:space="preserve"> </w:t>
      </w:r>
    </w:p>
    <w:tbl>
      <w:tblPr>
        <w:tblW w:w="9072" w:type="dxa"/>
        <w:tblLayout w:type="fixed"/>
        <w:tblCellMar>
          <w:top w:w="57" w:type="dxa"/>
          <w:left w:w="57" w:type="dxa"/>
          <w:bottom w:w="57" w:type="dxa"/>
          <w:right w:w="57" w:type="dxa"/>
        </w:tblCellMar>
        <w:tblLook w:val="0420" w:firstRow="1" w:lastRow="0" w:firstColumn="0" w:lastColumn="0" w:noHBand="0" w:noVBand="1"/>
      </w:tblPr>
      <w:tblGrid>
        <w:gridCol w:w="1444"/>
        <w:gridCol w:w="2154"/>
        <w:gridCol w:w="5474"/>
      </w:tblGrid>
      <w:tr w:rsidR="0022165D" w:rsidRPr="00A56DE9" w14:paraId="623D5115" w14:textId="77777777" w:rsidTr="00A52280">
        <w:trPr>
          <w:trHeight w:val="654"/>
        </w:trPr>
        <w:tc>
          <w:tcPr>
            <w:tcW w:w="1444" w:type="dxa"/>
            <w:tcBorders>
              <w:top w:val="nil"/>
              <w:left w:val="nil"/>
              <w:bottom w:val="single" w:sz="8" w:space="0" w:color="161616" w:themeColor="text1"/>
              <w:right w:val="single" w:sz="8" w:space="0" w:color="161616" w:themeColor="text1"/>
            </w:tcBorders>
            <w:tcMar>
              <w:top w:w="72" w:type="dxa"/>
              <w:left w:w="144" w:type="dxa"/>
              <w:bottom w:w="72" w:type="dxa"/>
              <w:right w:w="144" w:type="dxa"/>
            </w:tcMar>
            <w:hideMark/>
          </w:tcPr>
          <w:p w14:paraId="4E98B104" w14:textId="77777777" w:rsidR="0022165D" w:rsidRPr="00A56DE9" w:rsidRDefault="0022165D">
            <w:pPr>
              <w:pStyle w:val="Corpsdetexte"/>
              <w:spacing w:before="120"/>
            </w:pPr>
          </w:p>
        </w:tc>
        <w:tc>
          <w:tcPr>
            <w:tcW w:w="2154" w:type="dxa"/>
            <w:tcBorders>
              <w:top w:val="single" w:sz="8" w:space="0" w:color="161616" w:themeColor="text1"/>
              <w:left w:val="single" w:sz="8" w:space="0" w:color="161616" w:themeColor="text1"/>
              <w:bottom w:val="single" w:sz="8" w:space="0" w:color="161616" w:themeColor="text1"/>
              <w:right w:val="single" w:sz="8" w:space="0" w:color="161616" w:themeColor="text1"/>
            </w:tcBorders>
            <w:shd w:val="clear" w:color="auto" w:fill="285F83" w:themeFill="text2"/>
            <w:tcMar>
              <w:top w:w="72" w:type="dxa"/>
              <w:left w:w="144" w:type="dxa"/>
              <w:bottom w:w="72" w:type="dxa"/>
              <w:right w:w="144" w:type="dxa"/>
            </w:tcMar>
            <w:vAlign w:val="center"/>
            <w:hideMark/>
          </w:tcPr>
          <w:p w14:paraId="52CBBECB" w14:textId="4258C544" w:rsidR="0022165D" w:rsidRPr="00A56DE9" w:rsidRDefault="006E0585" w:rsidP="00933C9E">
            <w:pPr>
              <w:pStyle w:val="Corpsdetexte"/>
              <w:spacing w:after="0"/>
              <w:jc w:val="center"/>
              <w:rPr>
                <w:color w:val="FFFFFF" w:themeColor="background1"/>
              </w:rPr>
            </w:pPr>
            <w:r>
              <w:rPr>
                <w:b/>
                <w:bCs/>
                <w:color w:val="FFFFFF" w:themeColor="background1"/>
              </w:rPr>
              <w:t>Description</w:t>
            </w:r>
          </w:p>
        </w:tc>
        <w:tc>
          <w:tcPr>
            <w:tcW w:w="5474" w:type="dxa"/>
            <w:tcBorders>
              <w:top w:val="single" w:sz="8" w:space="0" w:color="161616" w:themeColor="text1"/>
              <w:left w:val="single" w:sz="8" w:space="0" w:color="161616" w:themeColor="text1"/>
              <w:bottom w:val="single" w:sz="8" w:space="0" w:color="161616" w:themeColor="text1"/>
              <w:right w:val="single" w:sz="8" w:space="0" w:color="161616" w:themeColor="text1"/>
            </w:tcBorders>
            <w:shd w:val="clear" w:color="auto" w:fill="285F83" w:themeFill="text2"/>
            <w:vAlign w:val="center"/>
          </w:tcPr>
          <w:p w14:paraId="7BF9EDCE" w14:textId="1D20667E" w:rsidR="241C7117" w:rsidRPr="538FE1D2" w:rsidRDefault="241C7117" w:rsidP="00933C9E">
            <w:pPr>
              <w:pStyle w:val="Corpsdetexte"/>
              <w:spacing w:after="0"/>
              <w:jc w:val="center"/>
              <w:rPr>
                <w:b/>
                <w:bCs/>
                <w:color w:val="FFFFFF" w:themeColor="background1"/>
              </w:rPr>
            </w:pPr>
            <w:r w:rsidRPr="538FE1D2">
              <w:rPr>
                <w:b/>
                <w:bCs/>
                <w:color w:val="FFFFFF" w:themeColor="background1"/>
              </w:rPr>
              <w:t xml:space="preserve">Exemple de </w:t>
            </w:r>
            <w:r w:rsidR="00800E90">
              <w:rPr>
                <w:b/>
                <w:bCs/>
                <w:color w:val="FFFFFF" w:themeColor="background1"/>
              </w:rPr>
              <w:t>scénarios</w:t>
            </w:r>
            <w:r w:rsidR="00800E90">
              <w:rPr>
                <w:b/>
                <w:bCs/>
                <w:color w:val="FFFFFF" w:themeColor="background1"/>
              </w:rPr>
              <w:br/>
              <w:t xml:space="preserve">Les </w:t>
            </w:r>
            <w:r w:rsidRPr="538FE1D2">
              <w:rPr>
                <w:b/>
                <w:bCs/>
                <w:color w:val="FFFFFF" w:themeColor="background1"/>
              </w:rPr>
              <w:t>v</w:t>
            </w:r>
            <w:r w:rsidR="00FB644D" w:rsidRPr="538FE1D2">
              <w:rPr>
                <w:b/>
                <w:bCs/>
                <w:color w:val="FFFFFF" w:themeColor="background1"/>
              </w:rPr>
              <w:t>a</w:t>
            </w:r>
            <w:r w:rsidR="00381064" w:rsidRPr="538FE1D2">
              <w:rPr>
                <w:b/>
                <w:bCs/>
                <w:color w:val="FFFFFF" w:themeColor="background1"/>
              </w:rPr>
              <w:t>riables modifiées</w:t>
            </w:r>
            <w:r w:rsidR="00800E90">
              <w:rPr>
                <w:b/>
                <w:bCs/>
                <w:color w:val="FFFFFF" w:themeColor="background1"/>
              </w:rPr>
              <w:t xml:space="preserve"> sont signalées en gras</w:t>
            </w:r>
          </w:p>
        </w:tc>
      </w:tr>
      <w:tr w:rsidR="0022165D" w14:paraId="3AA54A8B" w14:textId="77777777" w:rsidTr="00A52280">
        <w:trPr>
          <w:trHeight w:val="1807"/>
        </w:trPr>
        <w:tc>
          <w:tcPr>
            <w:tcW w:w="1444" w:type="dxa"/>
            <w:tcBorders>
              <w:top w:val="single" w:sz="8" w:space="0" w:color="161616" w:themeColor="text1"/>
              <w:left w:val="single" w:sz="8" w:space="0" w:color="161616" w:themeColor="text1"/>
              <w:bottom w:val="single" w:sz="8" w:space="0" w:color="161616" w:themeColor="text1"/>
              <w:right w:val="single" w:sz="8" w:space="0" w:color="161616" w:themeColor="text1"/>
            </w:tcBorders>
            <w:shd w:val="clear" w:color="auto" w:fill="285F83" w:themeFill="text2"/>
            <w:tcMar>
              <w:top w:w="72" w:type="dxa"/>
              <w:left w:w="144" w:type="dxa"/>
              <w:bottom w:w="72" w:type="dxa"/>
              <w:right w:w="144" w:type="dxa"/>
            </w:tcMar>
            <w:vAlign w:val="center"/>
            <w:hideMark/>
          </w:tcPr>
          <w:p w14:paraId="655C856B" w14:textId="64E1FCAF" w:rsidR="0022165D" w:rsidRPr="00B40E08" w:rsidRDefault="00A51B08" w:rsidP="00933C9E">
            <w:pPr>
              <w:pStyle w:val="Corpsdetexte"/>
              <w:spacing w:before="120"/>
              <w:jc w:val="left"/>
              <w:rPr>
                <w:b/>
                <w:bCs/>
                <w:color w:val="FFFFFF" w:themeColor="background1"/>
              </w:rPr>
            </w:pPr>
            <w:r>
              <w:rPr>
                <w:b/>
                <w:bCs/>
                <w:color w:val="FFFFFF" w:themeColor="background1"/>
              </w:rPr>
              <w:t xml:space="preserve">1. </w:t>
            </w:r>
            <w:r w:rsidR="00CD4CAF">
              <w:rPr>
                <w:b/>
                <w:bCs/>
                <w:color w:val="FFFFFF" w:themeColor="background1"/>
              </w:rPr>
              <w:t>Risque</w:t>
            </w:r>
            <w:r w:rsidR="0022165D">
              <w:rPr>
                <w:b/>
                <w:bCs/>
                <w:color w:val="FFFFFF" w:themeColor="background1"/>
              </w:rPr>
              <w:t xml:space="preserve"> prix </w:t>
            </w:r>
          </w:p>
        </w:tc>
        <w:tc>
          <w:tcPr>
            <w:tcW w:w="2154" w:type="dxa"/>
            <w:tcBorders>
              <w:top w:val="single" w:sz="8" w:space="0" w:color="161616" w:themeColor="text1"/>
              <w:left w:val="single" w:sz="8" w:space="0" w:color="161616" w:themeColor="text1"/>
              <w:bottom w:val="single" w:sz="8" w:space="0" w:color="161616" w:themeColor="text1"/>
              <w:right w:val="single" w:sz="8" w:space="0" w:color="161616" w:themeColor="text1"/>
            </w:tcBorders>
            <w:tcMar>
              <w:top w:w="72" w:type="dxa"/>
              <w:left w:w="144" w:type="dxa"/>
              <w:bottom w:w="72" w:type="dxa"/>
              <w:right w:w="144" w:type="dxa"/>
            </w:tcMar>
            <w:vAlign w:val="center"/>
            <w:hideMark/>
          </w:tcPr>
          <w:p w14:paraId="29773E34" w14:textId="666D82C9" w:rsidR="008247A1" w:rsidRPr="00A56DE9" w:rsidRDefault="00B46D5A" w:rsidP="00933C9E">
            <w:pPr>
              <w:pStyle w:val="Corpsdetexte"/>
              <w:spacing w:before="120"/>
              <w:jc w:val="left"/>
            </w:pPr>
            <w:r>
              <w:t>R</w:t>
            </w:r>
            <w:r w:rsidR="000958BA">
              <w:t>e</w:t>
            </w:r>
            <w:r>
              <w:t>jeu</w:t>
            </w:r>
            <w:r w:rsidR="006807E4">
              <w:t xml:space="preserve"> </w:t>
            </w:r>
            <w:r w:rsidR="0030121A">
              <w:t xml:space="preserve">des variations de prix </w:t>
            </w:r>
            <w:r>
              <w:t xml:space="preserve">de </w:t>
            </w:r>
            <w:r w:rsidR="009F49C6">
              <w:t>la crise 2022/2023</w:t>
            </w:r>
            <w:r w:rsidR="0030121A">
              <w:t xml:space="preserve"> </w:t>
            </w:r>
          </w:p>
        </w:tc>
        <w:tc>
          <w:tcPr>
            <w:tcW w:w="5474" w:type="dxa"/>
            <w:tcBorders>
              <w:top w:val="single" w:sz="8" w:space="0" w:color="161616" w:themeColor="text1"/>
              <w:left w:val="single" w:sz="8" w:space="0" w:color="161616" w:themeColor="text1"/>
              <w:bottom w:val="single" w:sz="8" w:space="0" w:color="161616" w:themeColor="text1"/>
              <w:right w:val="single" w:sz="8" w:space="0" w:color="161616" w:themeColor="text1"/>
            </w:tcBorders>
            <w:vAlign w:val="center"/>
          </w:tcPr>
          <w:p w14:paraId="7BBA140B" w14:textId="6D427A9F" w:rsidR="000958BA" w:rsidRDefault="000958BA" w:rsidP="00933C9E">
            <w:pPr>
              <w:pStyle w:val="Corpsdetexte"/>
              <w:spacing w:before="120"/>
              <w:jc w:val="left"/>
            </w:pPr>
          </w:p>
          <w:p w14:paraId="39D5B1F5" w14:textId="06B9085C" w:rsidR="007D2B0F" w:rsidDel="0054361C" w:rsidRDefault="002C4AA4" w:rsidP="00933C9E">
            <w:pPr>
              <w:pStyle w:val="Corpsdetexte"/>
              <w:spacing w:before="120"/>
              <w:jc w:val="left"/>
            </w:pPr>
            <w:r>
              <w:t xml:space="preserve">Augmentation des </w:t>
            </w:r>
            <w:r w:rsidRPr="00820E31">
              <w:rPr>
                <w:b/>
                <w:bCs/>
              </w:rPr>
              <w:t>prix</w:t>
            </w:r>
            <w:r>
              <w:rPr>
                <w:b/>
                <w:bCs/>
              </w:rPr>
              <w:t xml:space="preserve"> </w:t>
            </w:r>
            <w:r w:rsidR="00FF79B9">
              <w:rPr>
                <w:b/>
                <w:bCs/>
              </w:rPr>
              <w:t xml:space="preserve">de gros </w:t>
            </w:r>
            <w:r w:rsidR="00BF47D4" w:rsidRPr="00BF47D4">
              <w:t>conformément à l'évolution à maille trimestrielle des prix observés entre le 1er juillet 2021 et le 1er janvier 2023</w:t>
            </w:r>
            <w:r w:rsidR="00D93262">
              <w:t xml:space="preserve">. </w:t>
            </w:r>
          </w:p>
        </w:tc>
      </w:tr>
      <w:tr w:rsidR="0022165D" w14:paraId="11C22708" w14:textId="77777777" w:rsidTr="00A52280">
        <w:trPr>
          <w:trHeight w:val="1807"/>
        </w:trPr>
        <w:tc>
          <w:tcPr>
            <w:tcW w:w="1444" w:type="dxa"/>
            <w:tcBorders>
              <w:top w:val="single" w:sz="8" w:space="0" w:color="161616" w:themeColor="text1"/>
              <w:left w:val="single" w:sz="8" w:space="0" w:color="161616" w:themeColor="text1"/>
              <w:bottom w:val="single" w:sz="8" w:space="0" w:color="161616" w:themeColor="text1"/>
              <w:right w:val="single" w:sz="8" w:space="0" w:color="161616" w:themeColor="text1"/>
            </w:tcBorders>
            <w:shd w:val="clear" w:color="auto" w:fill="285F83" w:themeFill="text2"/>
            <w:tcMar>
              <w:top w:w="72" w:type="dxa"/>
              <w:left w:w="144" w:type="dxa"/>
              <w:bottom w:w="72" w:type="dxa"/>
              <w:right w:w="144" w:type="dxa"/>
            </w:tcMar>
            <w:vAlign w:val="center"/>
          </w:tcPr>
          <w:p w14:paraId="5A03CFCB" w14:textId="55270886" w:rsidR="0022165D" w:rsidRPr="00B40E08" w:rsidRDefault="00A51B08" w:rsidP="00933C9E">
            <w:pPr>
              <w:pStyle w:val="Corpsdetexte"/>
              <w:spacing w:before="120"/>
              <w:jc w:val="left"/>
              <w:rPr>
                <w:b/>
                <w:bCs/>
                <w:color w:val="FFFFFF" w:themeColor="background1"/>
              </w:rPr>
            </w:pPr>
            <w:r>
              <w:rPr>
                <w:b/>
                <w:bCs/>
                <w:color w:val="FFFFFF" w:themeColor="background1"/>
              </w:rPr>
              <w:t xml:space="preserve">2. </w:t>
            </w:r>
            <w:r w:rsidR="00DB2135">
              <w:rPr>
                <w:b/>
                <w:bCs/>
                <w:color w:val="FFFFFF" w:themeColor="background1"/>
              </w:rPr>
              <w:t xml:space="preserve">Risque hivernal </w:t>
            </w:r>
          </w:p>
        </w:tc>
        <w:tc>
          <w:tcPr>
            <w:tcW w:w="2154" w:type="dxa"/>
            <w:tcBorders>
              <w:top w:val="single" w:sz="8" w:space="0" w:color="161616" w:themeColor="text1"/>
              <w:left w:val="single" w:sz="8" w:space="0" w:color="161616" w:themeColor="text1"/>
              <w:bottom w:val="single" w:sz="8" w:space="0" w:color="161616" w:themeColor="text1"/>
              <w:right w:val="single" w:sz="8" w:space="0" w:color="161616" w:themeColor="text1"/>
            </w:tcBorders>
            <w:tcMar>
              <w:top w:w="72" w:type="dxa"/>
              <w:left w:w="144" w:type="dxa"/>
              <w:bottom w:w="72" w:type="dxa"/>
              <w:right w:w="144" w:type="dxa"/>
            </w:tcMar>
            <w:vAlign w:val="center"/>
          </w:tcPr>
          <w:p w14:paraId="5F479654" w14:textId="014C8154" w:rsidR="0022165D" w:rsidRPr="00933C9E" w:rsidRDefault="0030121A" w:rsidP="00933C9E">
            <w:pPr>
              <w:pStyle w:val="Corpsdetexte"/>
              <w:spacing w:before="120"/>
              <w:jc w:val="left"/>
              <w:rPr>
                <w:rStyle w:val="Marquedecommentaire"/>
                <w:sz w:val="20"/>
                <w:szCs w:val="20"/>
              </w:rPr>
            </w:pPr>
            <w:r>
              <w:rPr>
                <w:rStyle w:val="Marquedecommentaire"/>
                <w:sz w:val="20"/>
                <w:szCs w:val="20"/>
              </w:rPr>
              <w:t xml:space="preserve">Hausse </w:t>
            </w:r>
            <w:r w:rsidR="002124B2">
              <w:rPr>
                <w:rStyle w:val="Marquedecommentaire"/>
                <w:sz w:val="20"/>
                <w:szCs w:val="20"/>
              </w:rPr>
              <w:t xml:space="preserve">significative </w:t>
            </w:r>
            <w:r>
              <w:rPr>
                <w:rStyle w:val="Marquedecommentaire"/>
                <w:sz w:val="20"/>
                <w:szCs w:val="20"/>
              </w:rPr>
              <w:t>d</w:t>
            </w:r>
            <w:r w:rsidR="427BFBC9" w:rsidRPr="00933C9E">
              <w:rPr>
                <w:rStyle w:val="Marquedecommentaire"/>
                <w:sz w:val="20"/>
                <w:szCs w:val="20"/>
              </w:rPr>
              <w:t xml:space="preserve">es </w:t>
            </w:r>
            <w:r w:rsidR="000958BA" w:rsidRPr="00933C9E">
              <w:rPr>
                <w:rStyle w:val="Marquedecommentaire"/>
                <w:sz w:val="20"/>
                <w:szCs w:val="20"/>
              </w:rPr>
              <w:t xml:space="preserve">volumes de ventes </w:t>
            </w:r>
            <w:r w:rsidR="002124B2">
              <w:rPr>
                <w:rStyle w:val="Marquedecommentaire"/>
                <w:sz w:val="20"/>
                <w:szCs w:val="20"/>
              </w:rPr>
              <w:t>et</w:t>
            </w:r>
            <w:r w:rsidR="000958BA" w:rsidDel="002124B2">
              <w:rPr>
                <w:rStyle w:val="Marquedecommentaire"/>
                <w:sz w:val="20"/>
                <w:szCs w:val="20"/>
              </w:rPr>
              <w:t xml:space="preserve"> </w:t>
            </w:r>
            <w:r w:rsidR="002124B2">
              <w:rPr>
                <w:rStyle w:val="Marquedecommentaire"/>
                <w:sz w:val="20"/>
                <w:szCs w:val="20"/>
              </w:rPr>
              <w:t xml:space="preserve">hausse modérée et </w:t>
            </w:r>
            <w:r w:rsidR="005914D6">
              <w:rPr>
                <w:rStyle w:val="Marquedecommentaire"/>
                <w:sz w:val="20"/>
                <w:szCs w:val="20"/>
              </w:rPr>
              <w:t xml:space="preserve">limitée dans le temps du </w:t>
            </w:r>
            <w:r w:rsidR="000958BA" w:rsidRPr="00933C9E">
              <w:rPr>
                <w:rStyle w:val="Marquedecommentaire"/>
                <w:sz w:val="20"/>
                <w:szCs w:val="20"/>
              </w:rPr>
              <w:t>prix spot</w:t>
            </w:r>
            <w:r w:rsidR="00AC753A">
              <w:rPr>
                <w:rStyle w:val="Marquedecommentaire"/>
                <w:sz w:val="20"/>
                <w:szCs w:val="20"/>
              </w:rPr>
              <w:t xml:space="preserve">, consécutives à une baisse des températures. </w:t>
            </w:r>
          </w:p>
        </w:tc>
        <w:tc>
          <w:tcPr>
            <w:tcW w:w="5474" w:type="dxa"/>
            <w:tcBorders>
              <w:top w:val="single" w:sz="8" w:space="0" w:color="161616" w:themeColor="text1"/>
              <w:left w:val="single" w:sz="8" w:space="0" w:color="161616" w:themeColor="text1"/>
              <w:bottom w:val="single" w:sz="8" w:space="0" w:color="161616" w:themeColor="text1"/>
              <w:right w:val="single" w:sz="8" w:space="0" w:color="161616" w:themeColor="text1"/>
            </w:tcBorders>
            <w:vAlign w:val="center"/>
          </w:tcPr>
          <w:p w14:paraId="1DBB73AE" w14:textId="7E0D373B" w:rsidR="00130899" w:rsidRDefault="00130899" w:rsidP="0054361C">
            <w:pPr>
              <w:pStyle w:val="Corpsdetexte"/>
              <w:spacing w:before="120"/>
              <w:jc w:val="left"/>
              <w:rPr>
                <w:rStyle w:val="Marquedecommentaire"/>
                <w:sz w:val="20"/>
                <w:szCs w:val="20"/>
              </w:rPr>
            </w:pPr>
            <w:r>
              <w:rPr>
                <w:rStyle w:val="Marquedecommentaire"/>
                <w:sz w:val="20"/>
                <w:szCs w:val="20"/>
              </w:rPr>
              <w:t>Simulation d’une vague de froid</w:t>
            </w:r>
            <w:r w:rsidR="00FF2FED">
              <w:rPr>
                <w:rStyle w:val="Marquedecommentaire"/>
                <w:sz w:val="20"/>
                <w:szCs w:val="20"/>
              </w:rPr>
              <w:t xml:space="preserve"> d’après données</w:t>
            </w:r>
            <w:r>
              <w:rPr>
                <w:rStyle w:val="Marquedecommentaire"/>
                <w:sz w:val="20"/>
                <w:szCs w:val="20"/>
              </w:rPr>
              <w:t xml:space="preserve"> </w:t>
            </w:r>
            <w:r w:rsidR="00913475">
              <w:rPr>
                <w:rStyle w:val="Marquedecommentaire"/>
                <w:sz w:val="20"/>
                <w:szCs w:val="20"/>
              </w:rPr>
              <w:t>historique</w:t>
            </w:r>
            <w:r w:rsidR="00FF2FED">
              <w:rPr>
                <w:rStyle w:val="Marquedecommentaire"/>
                <w:sz w:val="20"/>
                <w:szCs w:val="20"/>
              </w:rPr>
              <w:t>s</w:t>
            </w:r>
            <w:r w:rsidR="00852A08">
              <w:rPr>
                <w:rStyle w:val="Marquedecommentaire"/>
                <w:sz w:val="20"/>
                <w:szCs w:val="20"/>
              </w:rPr>
              <w:t xml:space="preserve"> (intensité et durée)</w:t>
            </w:r>
            <w:r w:rsidR="00913475">
              <w:rPr>
                <w:rStyle w:val="Marquedecommentaire"/>
                <w:sz w:val="20"/>
                <w:szCs w:val="20"/>
              </w:rPr>
              <w:t xml:space="preserve"> </w:t>
            </w:r>
            <w:r w:rsidR="008D389E">
              <w:rPr>
                <w:rStyle w:val="Marquedecommentaire"/>
                <w:sz w:val="20"/>
                <w:szCs w:val="20"/>
              </w:rPr>
              <w:t xml:space="preserve">impactant les </w:t>
            </w:r>
            <w:r w:rsidR="008D389E" w:rsidRPr="00431DD0">
              <w:rPr>
                <w:rStyle w:val="Marquedecommentaire"/>
                <w:b/>
                <w:bCs/>
                <w:sz w:val="20"/>
                <w:szCs w:val="20"/>
              </w:rPr>
              <w:t>volumes de vente</w:t>
            </w:r>
            <w:r w:rsidR="008D389E">
              <w:rPr>
                <w:rStyle w:val="Marquedecommentaire"/>
                <w:sz w:val="20"/>
                <w:szCs w:val="20"/>
              </w:rPr>
              <w:t xml:space="preserve"> selon la thermosensibilité du portefeuille du fournisseur, et </w:t>
            </w:r>
            <w:r w:rsidR="00A843D5" w:rsidRPr="00431DD0">
              <w:rPr>
                <w:rStyle w:val="Marquedecommentaire"/>
                <w:b/>
                <w:bCs/>
                <w:sz w:val="20"/>
                <w:szCs w:val="20"/>
              </w:rPr>
              <w:t>les prix</w:t>
            </w:r>
            <w:r w:rsidR="00A843D5">
              <w:rPr>
                <w:rStyle w:val="Marquedecommentaire"/>
                <w:sz w:val="20"/>
                <w:szCs w:val="20"/>
              </w:rPr>
              <w:t xml:space="preserve"> s</w:t>
            </w:r>
            <w:r w:rsidR="002E4E24">
              <w:rPr>
                <w:rStyle w:val="Marquedecommentaire"/>
                <w:sz w:val="20"/>
                <w:szCs w:val="20"/>
              </w:rPr>
              <w:t>ur la base d</w:t>
            </w:r>
            <w:r w:rsidR="00774C5F">
              <w:rPr>
                <w:rStyle w:val="Marquedecommentaire"/>
                <w:sz w:val="20"/>
                <w:szCs w:val="20"/>
              </w:rPr>
              <w:t>’un modèle de dépendance du prix à la température.</w:t>
            </w:r>
          </w:p>
        </w:tc>
      </w:tr>
      <w:tr w:rsidR="0022165D" w14:paraId="5D712B79" w14:textId="77777777" w:rsidTr="00A52280">
        <w:trPr>
          <w:trHeight w:val="1807"/>
        </w:trPr>
        <w:tc>
          <w:tcPr>
            <w:tcW w:w="1444" w:type="dxa"/>
            <w:tcBorders>
              <w:top w:val="single" w:sz="8" w:space="0" w:color="161616" w:themeColor="text1"/>
              <w:left w:val="single" w:sz="8" w:space="0" w:color="161616" w:themeColor="text1"/>
              <w:bottom w:val="single" w:sz="8" w:space="0" w:color="161616" w:themeColor="text1"/>
              <w:right w:val="single" w:sz="8" w:space="0" w:color="161616" w:themeColor="text1"/>
            </w:tcBorders>
            <w:shd w:val="clear" w:color="auto" w:fill="285F83" w:themeFill="text2"/>
            <w:tcMar>
              <w:top w:w="72" w:type="dxa"/>
              <w:left w:w="144" w:type="dxa"/>
              <w:bottom w:w="72" w:type="dxa"/>
              <w:right w:w="144" w:type="dxa"/>
            </w:tcMar>
            <w:vAlign w:val="center"/>
          </w:tcPr>
          <w:p w14:paraId="09F7A4B5" w14:textId="4679A1B2" w:rsidR="0022165D" w:rsidRPr="00B40E08" w:rsidRDefault="00A51B08" w:rsidP="00933C9E">
            <w:pPr>
              <w:pStyle w:val="Corpsdetexte"/>
              <w:spacing w:before="120"/>
              <w:jc w:val="left"/>
              <w:rPr>
                <w:b/>
                <w:bCs/>
                <w:color w:val="FFFFFF" w:themeColor="background1"/>
              </w:rPr>
            </w:pPr>
            <w:r>
              <w:rPr>
                <w:b/>
                <w:bCs/>
                <w:color w:val="FFFFFF" w:themeColor="background1"/>
              </w:rPr>
              <w:lastRenderedPageBreak/>
              <w:t>3</w:t>
            </w:r>
            <w:r w:rsidR="00491D53">
              <w:rPr>
                <w:b/>
                <w:bCs/>
                <w:color w:val="FFFFFF" w:themeColor="background1"/>
              </w:rPr>
              <w:t>.</w:t>
            </w:r>
            <w:r>
              <w:rPr>
                <w:b/>
                <w:bCs/>
                <w:color w:val="FFFFFF" w:themeColor="background1"/>
              </w:rPr>
              <w:t xml:space="preserve"> </w:t>
            </w:r>
            <w:r w:rsidR="00DB2135">
              <w:rPr>
                <w:b/>
                <w:bCs/>
                <w:color w:val="FFFFFF" w:themeColor="background1"/>
              </w:rPr>
              <w:t xml:space="preserve">Risque </w:t>
            </w:r>
            <w:r>
              <w:rPr>
                <w:b/>
                <w:bCs/>
                <w:color w:val="FFFFFF" w:themeColor="background1"/>
              </w:rPr>
              <w:t>d’attrition</w:t>
            </w:r>
          </w:p>
        </w:tc>
        <w:tc>
          <w:tcPr>
            <w:tcW w:w="2154" w:type="dxa"/>
            <w:tcBorders>
              <w:top w:val="single" w:sz="8" w:space="0" w:color="161616" w:themeColor="text1"/>
              <w:left w:val="single" w:sz="8" w:space="0" w:color="161616" w:themeColor="text1"/>
              <w:bottom w:val="single" w:sz="8" w:space="0" w:color="161616" w:themeColor="text1"/>
              <w:right w:val="single" w:sz="8" w:space="0" w:color="161616" w:themeColor="text1"/>
            </w:tcBorders>
            <w:tcMar>
              <w:top w:w="72" w:type="dxa"/>
              <w:left w:w="144" w:type="dxa"/>
              <w:bottom w:w="72" w:type="dxa"/>
              <w:right w:w="144" w:type="dxa"/>
            </w:tcMar>
            <w:vAlign w:val="center"/>
          </w:tcPr>
          <w:p w14:paraId="7C7668A6" w14:textId="5BC8254A" w:rsidR="0022165D" w:rsidRPr="00933C9E" w:rsidRDefault="00AE48FD" w:rsidP="00933C9E">
            <w:pPr>
              <w:pStyle w:val="Corpsdetexte"/>
              <w:spacing w:before="120"/>
              <w:jc w:val="left"/>
              <w:rPr>
                <w:rStyle w:val="Marquedecommentaire"/>
                <w:sz w:val="20"/>
                <w:szCs w:val="20"/>
              </w:rPr>
            </w:pPr>
            <w:r>
              <w:rPr>
                <w:rStyle w:val="Marquedecommentaire"/>
                <w:sz w:val="20"/>
                <w:szCs w:val="20"/>
              </w:rPr>
              <w:t xml:space="preserve">Volumes à fournir effectifs ne correspondant pas à l’estimation qui en a été faite. </w:t>
            </w:r>
          </w:p>
        </w:tc>
        <w:tc>
          <w:tcPr>
            <w:tcW w:w="5474" w:type="dxa"/>
            <w:tcBorders>
              <w:top w:val="single" w:sz="8" w:space="0" w:color="161616" w:themeColor="text1"/>
              <w:left w:val="single" w:sz="8" w:space="0" w:color="161616" w:themeColor="text1"/>
              <w:bottom w:val="single" w:sz="8" w:space="0" w:color="161616" w:themeColor="text1"/>
              <w:right w:val="single" w:sz="8" w:space="0" w:color="161616" w:themeColor="text1"/>
            </w:tcBorders>
            <w:vAlign w:val="center"/>
          </w:tcPr>
          <w:p w14:paraId="5F21D9F9" w14:textId="3968CDF8" w:rsidR="002359AD" w:rsidRDefault="002359AD" w:rsidP="00252ED2">
            <w:pPr>
              <w:pStyle w:val="Corpsdetexte"/>
              <w:spacing w:before="120"/>
              <w:jc w:val="left"/>
              <w:rPr>
                <w:rStyle w:val="Marquedecommentaire"/>
                <w:sz w:val="20"/>
                <w:szCs w:val="20"/>
              </w:rPr>
            </w:pPr>
            <w:r>
              <w:rPr>
                <w:rStyle w:val="Marquedecommentaire"/>
                <w:sz w:val="20"/>
                <w:szCs w:val="20"/>
              </w:rPr>
              <w:t xml:space="preserve">Situation de </w:t>
            </w:r>
            <w:r w:rsidRPr="00431DD0">
              <w:rPr>
                <w:rStyle w:val="Marquedecommentaire"/>
                <w:b/>
                <w:bCs/>
                <w:sz w:val="20"/>
                <w:szCs w:val="20"/>
              </w:rPr>
              <w:t>baisse des prix</w:t>
            </w:r>
            <w:r>
              <w:rPr>
                <w:rStyle w:val="Marquedecommentaire"/>
                <w:sz w:val="20"/>
                <w:szCs w:val="20"/>
              </w:rPr>
              <w:t xml:space="preserve"> </w:t>
            </w:r>
            <w:r w:rsidR="00335924">
              <w:rPr>
                <w:rStyle w:val="Marquedecommentaire"/>
                <w:sz w:val="20"/>
                <w:szCs w:val="20"/>
              </w:rPr>
              <w:t xml:space="preserve">(resp. </w:t>
            </w:r>
            <w:proofErr w:type="gramStart"/>
            <w:r w:rsidR="00335924">
              <w:rPr>
                <w:rStyle w:val="Marquedecommentaire"/>
                <w:sz w:val="20"/>
                <w:szCs w:val="20"/>
              </w:rPr>
              <w:t>hausse</w:t>
            </w:r>
            <w:proofErr w:type="gramEnd"/>
            <w:r w:rsidR="00335924">
              <w:rPr>
                <w:rStyle w:val="Marquedecommentaire"/>
                <w:sz w:val="20"/>
                <w:szCs w:val="20"/>
              </w:rPr>
              <w:t xml:space="preserve"> des prix) </w:t>
            </w:r>
            <w:r w:rsidR="00D25D59">
              <w:rPr>
                <w:rStyle w:val="Marquedecommentaire"/>
                <w:sz w:val="20"/>
                <w:szCs w:val="20"/>
              </w:rPr>
              <w:t>d’intensité moyenne</w:t>
            </w:r>
            <w:r w:rsidR="007154F4">
              <w:rPr>
                <w:rStyle w:val="Marquedecommentaire"/>
                <w:sz w:val="20"/>
                <w:szCs w:val="20"/>
              </w:rPr>
              <w:t xml:space="preserve"> </w:t>
            </w:r>
            <w:r w:rsidR="007E20F5">
              <w:rPr>
                <w:rStyle w:val="Marquedecommentaire"/>
                <w:sz w:val="20"/>
                <w:szCs w:val="20"/>
              </w:rPr>
              <w:t xml:space="preserve">engendrant un départ </w:t>
            </w:r>
            <w:r w:rsidR="00E82889">
              <w:rPr>
                <w:rStyle w:val="Marquedecommentaire"/>
                <w:sz w:val="20"/>
                <w:szCs w:val="20"/>
              </w:rPr>
              <w:t xml:space="preserve">à la concurrence </w:t>
            </w:r>
            <w:r w:rsidR="007E20F5">
              <w:rPr>
                <w:rStyle w:val="Marquedecommentaire"/>
                <w:sz w:val="20"/>
                <w:szCs w:val="20"/>
              </w:rPr>
              <w:t xml:space="preserve">accru </w:t>
            </w:r>
            <w:r w:rsidR="00335924">
              <w:rPr>
                <w:rStyle w:val="Marquedecommentaire"/>
                <w:sz w:val="20"/>
                <w:szCs w:val="20"/>
              </w:rPr>
              <w:t xml:space="preserve">(resp. </w:t>
            </w:r>
            <w:proofErr w:type="gramStart"/>
            <w:r w:rsidR="00A6356E">
              <w:rPr>
                <w:rStyle w:val="Marquedecommentaire"/>
                <w:sz w:val="20"/>
                <w:szCs w:val="20"/>
              </w:rPr>
              <w:t>réduit</w:t>
            </w:r>
            <w:proofErr w:type="gramEnd"/>
            <w:r w:rsidR="00A6356E">
              <w:rPr>
                <w:rStyle w:val="Marquedecommentaire"/>
                <w:sz w:val="20"/>
                <w:szCs w:val="20"/>
              </w:rPr>
              <w:t xml:space="preserve">) </w:t>
            </w:r>
            <w:r w:rsidR="007E20F5">
              <w:rPr>
                <w:rStyle w:val="Marquedecommentaire"/>
                <w:sz w:val="20"/>
                <w:szCs w:val="20"/>
              </w:rPr>
              <w:t xml:space="preserve">des consommateurs </w:t>
            </w:r>
            <w:r w:rsidR="000B7519">
              <w:rPr>
                <w:rStyle w:val="Marquedecommentaire"/>
                <w:sz w:val="20"/>
                <w:szCs w:val="20"/>
              </w:rPr>
              <w:t xml:space="preserve">sujets à l’attrition dans le </w:t>
            </w:r>
            <w:r w:rsidR="007E20F5">
              <w:rPr>
                <w:rStyle w:val="Marquedecommentaire"/>
                <w:sz w:val="20"/>
                <w:szCs w:val="20"/>
              </w:rPr>
              <w:t>portefeuille du fournisseur</w:t>
            </w:r>
            <w:r w:rsidR="00B87F1B">
              <w:rPr>
                <w:rStyle w:val="Marquedecommentaire"/>
                <w:sz w:val="20"/>
                <w:szCs w:val="20"/>
              </w:rPr>
              <w:t xml:space="preserve"> par rappor</w:t>
            </w:r>
            <w:r w:rsidR="00EC372F">
              <w:rPr>
                <w:rStyle w:val="Marquedecommentaire"/>
                <w:sz w:val="20"/>
                <w:szCs w:val="20"/>
              </w:rPr>
              <w:t>t à ses prévisions</w:t>
            </w:r>
            <w:r w:rsidR="000B7519">
              <w:rPr>
                <w:rStyle w:val="Marquedecommentaire"/>
                <w:sz w:val="20"/>
                <w:szCs w:val="20"/>
              </w:rPr>
              <w:t>.</w:t>
            </w:r>
            <w:r w:rsidR="008C6338">
              <w:rPr>
                <w:rStyle w:val="Marquedecommentaire"/>
                <w:sz w:val="20"/>
                <w:szCs w:val="20"/>
              </w:rPr>
              <w:t xml:space="preserve"> Ceci impactant les </w:t>
            </w:r>
            <w:r w:rsidR="008C6338" w:rsidRPr="00431DD0">
              <w:rPr>
                <w:rStyle w:val="Marquedecommentaire"/>
                <w:b/>
                <w:bCs/>
                <w:sz w:val="20"/>
                <w:szCs w:val="20"/>
              </w:rPr>
              <w:t>volumes de ventes</w:t>
            </w:r>
            <w:r w:rsidR="008C6338">
              <w:rPr>
                <w:rStyle w:val="Marquedecommentaire"/>
                <w:sz w:val="20"/>
                <w:szCs w:val="20"/>
              </w:rPr>
              <w:t>.</w:t>
            </w:r>
            <w:r w:rsidR="000B7519">
              <w:rPr>
                <w:rStyle w:val="Marquedecommentaire"/>
                <w:sz w:val="20"/>
                <w:szCs w:val="20"/>
              </w:rPr>
              <w:t xml:space="preserve"> </w:t>
            </w:r>
          </w:p>
        </w:tc>
      </w:tr>
      <w:tr w:rsidR="0022165D" w14:paraId="41565976" w14:textId="77777777" w:rsidTr="00A52280">
        <w:trPr>
          <w:trHeight w:val="1807"/>
        </w:trPr>
        <w:tc>
          <w:tcPr>
            <w:tcW w:w="1444" w:type="dxa"/>
            <w:tcBorders>
              <w:top w:val="single" w:sz="8" w:space="0" w:color="161616" w:themeColor="text1"/>
              <w:left w:val="single" w:sz="8" w:space="0" w:color="161616" w:themeColor="text1"/>
              <w:bottom w:val="single" w:sz="8" w:space="0" w:color="161616" w:themeColor="text1"/>
              <w:right w:val="single" w:sz="8" w:space="0" w:color="161616" w:themeColor="text1"/>
            </w:tcBorders>
            <w:shd w:val="clear" w:color="auto" w:fill="285F83" w:themeFill="text2"/>
            <w:tcMar>
              <w:top w:w="72" w:type="dxa"/>
              <w:left w:w="144" w:type="dxa"/>
              <w:bottom w:w="72" w:type="dxa"/>
              <w:right w:w="144" w:type="dxa"/>
            </w:tcMar>
            <w:vAlign w:val="center"/>
          </w:tcPr>
          <w:p w14:paraId="2860DEBB" w14:textId="55F8DCDA" w:rsidR="0022165D" w:rsidRPr="00B40E08" w:rsidRDefault="00491D53" w:rsidP="00933C9E">
            <w:pPr>
              <w:pStyle w:val="Corpsdetexte"/>
              <w:spacing w:before="120"/>
              <w:jc w:val="left"/>
              <w:rPr>
                <w:b/>
                <w:bCs/>
                <w:color w:val="FFFFFF" w:themeColor="background1"/>
              </w:rPr>
            </w:pPr>
            <w:r>
              <w:rPr>
                <w:b/>
                <w:bCs/>
                <w:color w:val="FFFFFF" w:themeColor="background1"/>
              </w:rPr>
              <w:t xml:space="preserve">4. </w:t>
            </w:r>
            <w:r w:rsidR="00DB2135">
              <w:rPr>
                <w:b/>
                <w:bCs/>
                <w:color w:val="FFFFFF" w:themeColor="background1"/>
              </w:rPr>
              <w:t xml:space="preserve">Risque </w:t>
            </w:r>
            <w:r w:rsidR="00A47CBE">
              <w:rPr>
                <w:b/>
                <w:bCs/>
                <w:color w:val="FFFFFF" w:themeColor="background1"/>
              </w:rPr>
              <w:t>d’impayés</w:t>
            </w:r>
          </w:p>
        </w:tc>
        <w:tc>
          <w:tcPr>
            <w:tcW w:w="2154" w:type="dxa"/>
            <w:tcBorders>
              <w:top w:val="single" w:sz="8" w:space="0" w:color="161616" w:themeColor="text1"/>
              <w:left w:val="single" w:sz="8" w:space="0" w:color="161616" w:themeColor="text1"/>
              <w:bottom w:val="single" w:sz="8" w:space="0" w:color="161616" w:themeColor="text1"/>
              <w:right w:val="single" w:sz="8" w:space="0" w:color="161616" w:themeColor="text1"/>
            </w:tcBorders>
            <w:tcMar>
              <w:top w:w="72" w:type="dxa"/>
              <w:left w:w="144" w:type="dxa"/>
              <w:bottom w:w="72" w:type="dxa"/>
              <w:right w:w="144" w:type="dxa"/>
            </w:tcMar>
            <w:vAlign w:val="center"/>
          </w:tcPr>
          <w:p w14:paraId="274D803B" w14:textId="6991BE6F" w:rsidR="0022165D" w:rsidRPr="00AC615B" w:rsidRDefault="00B8122B" w:rsidP="00933C9E">
            <w:pPr>
              <w:pStyle w:val="Corpsdetexte"/>
              <w:spacing w:before="120"/>
              <w:jc w:val="left"/>
              <w:rPr>
                <w:rStyle w:val="Marquedecommentaire"/>
                <w:sz w:val="20"/>
                <w:szCs w:val="20"/>
              </w:rPr>
            </w:pPr>
            <w:r>
              <w:rPr>
                <w:rStyle w:val="Marquedecommentaire"/>
                <w:sz w:val="20"/>
                <w:szCs w:val="20"/>
              </w:rPr>
              <w:t xml:space="preserve">Situation de crise </w:t>
            </w:r>
            <w:r w:rsidR="002040A7">
              <w:rPr>
                <w:rStyle w:val="Marquedecommentaire"/>
                <w:sz w:val="20"/>
                <w:szCs w:val="20"/>
              </w:rPr>
              <w:t xml:space="preserve">économique menant à une augmentation imprévue </w:t>
            </w:r>
            <w:r w:rsidR="001F0B08">
              <w:rPr>
                <w:rStyle w:val="Marquedecommentaire"/>
                <w:sz w:val="20"/>
                <w:szCs w:val="20"/>
              </w:rPr>
              <w:t xml:space="preserve">des </w:t>
            </w:r>
            <w:r w:rsidR="00610F8F" w:rsidRPr="00AC615B">
              <w:rPr>
                <w:rStyle w:val="Marquedecommentaire"/>
                <w:sz w:val="20"/>
                <w:szCs w:val="20"/>
              </w:rPr>
              <w:t>impayés</w:t>
            </w:r>
            <w:r w:rsidR="000958BA" w:rsidRPr="00AC615B">
              <w:rPr>
                <w:rStyle w:val="Marquedecommentaire"/>
                <w:sz w:val="20"/>
                <w:szCs w:val="20"/>
              </w:rPr>
              <w:t>.</w:t>
            </w:r>
            <w:r w:rsidR="002040A7">
              <w:rPr>
                <w:rStyle w:val="Marquedecommentaire"/>
                <w:sz w:val="20"/>
                <w:szCs w:val="20"/>
              </w:rPr>
              <w:t xml:space="preserve"> </w:t>
            </w:r>
          </w:p>
        </w:tc>
        <w:tc>
          <w:tcPr>
            <w:tcW w:w="5474" w:type="dxa"/>
            <w:tcBorders>
              <w:top w:val="single" w:sz="8" w:space="0" w:color="161616" w:themeColor="text1"/>
              <w:left w:val="single" w:sz="8" w:space="0" w:color="161616" w:themeColor="text1"/>
              <w:bottom w:val="single" w:sz="8" w:space="0" w:color="161616" w:themeColor="text1"/>
              <w:right w:val="single" w:sz="8" w:space="0" w:color="161616" w:themeColor="text1"/>
            </w:tcBorders>
            <w:vAlign w:val="center"/>
          </w:tcPr>
          <w:p w14:paraId="485A3613" w14:textId="0F18B53B" w:rsidR="007A019A" w:rsidRDefault="007A019A" w:rsidP="00933C9E">
            <w:pPr>
              <w:pStyle w:val="Corpsdetexte"/>
              <w:spacing w:before="120"/>
              <w:jc w:val="left"/>
              <w:rPr>
                <w:rStyle w:val="Marquedecommentaire"/>
                <w:sz w:val="20"/>
                <w:szCs w:val="20"/>
              </w:rPr>
            </w:pPr>
            <w:r>
              <w:rPr>
                <w:rStyle w:val="Marquedecommentaire"/>
                <w:sz w:val="20"/>
                <w:szCs w:val="20"/>
              </w:rPr>
              <w:t xml:space="preserve">Augmentation </w:t>
            </w:r>
            <w:r w:rsidR="005F1E32">
              <w:rPr>
                <w:rStyle w:val="Marquedecommentaire"/>
                <w:sz w:val="20"/>
                <w:szCs w:val="20"/>
              </w:rPr>
              <w:t xml:space="preserve">du </w:t>
            </w:r>
            <w:r w:rsidR="005F1E32" w:rsidRPr="00431DD0">
              <w:rPr>
                <w:rStyle w:val="Marquedecommentaire"/>
                <w:b/>
                <w:bCs/>
                <w:sz w:val="20"/>
                <w:szCs w:val="20"/>
              </w:rPr>
              <w:t>taux d’impayés</w:t>
            </w:r>
            <w:r w:rsidR="005F1E32">
              <w:rPr>
                <w:rStyle w:val="Marquedecommentaire"/>
                <w:sz w:val="20"/>
                <w:szCs w:val="20"/>
              </w:rPr>
              <w:t xml:space="preserve"> </w:t>
            </w:r>
            <w:r w:rsidR="005C22E7">
              <w:rPr>
                <w:rStyle w:val="Marquedecommentaire"/>
                <w:sz w:val="20"/>
                <w:szCs w:val="20"/>
              </w:rPr>
              <w:t xml:space="preserve">pour les périodes de livraison jusqu’à la fin de l’année suivant </w:t>
            </w:r>
            <w:r w:rsidR="003336E2">
              <w:rPr>
                <w:rStyle w:val="Marquedecommentaire"/>
                <w:sz w:val="20"/>
                <w:szCs w:val="20"/>
              </w:rPr>
              <w:t>l’année du guichet.</w:t>
            </w:r>
          </w:p>
        </w:tc>
      </w:tr>
      <w:tr w:rsidR="0022165D" w14:paraId="78E182CF" w14:textId="77777777" w:rsidTr="00A52280">
        <w:trPr>
          <w:trHeight w:val="1807"/>
        </w:trPr>
        <w:tc>
          <w:tcPr>
            <w:tcW w:w="1444" w:type="dxa"/>
            <w:tcBorders>
              <w:top w:val="single" w:sz="8" w:space="0" w:color="161616" w:themeColor="text1"/>
              <w:left w:val="single" w:sz="8" w:space="0" w:color="161616" w:themeColor="text1"/>
              <w:bottom w:val="single" w:sz="8" w:space="0" w:color="161616" w:themeColor="text1"/>
              <w:right w:val="single" w:sz="8" w:space="0" w:color="161616" w:themeColor="text1"/>
            </w:tcBorders>
            <w:shd w:val="clear" w:color="auto" w:fill="285F83" w:themeFill="text2"/>
            <w:tcMar>
              <w:top w:w="72" w:type="dxa"/>
              <w:left w:w="144" w:type="dxa"/>
              <w:bottom w:w="72" w:type="dxa"/>
              <w:right w:w="144" w:type="dxa"/>
            </w:tcMar>
            <w:vAlign w:val="center"/>
          </w:tcPr>
          <w:p w14:paraId="4BC574E3" w14:textId="4294C5B1" w:rsidR="0022165D" w:rsidRPr="00B40E08" w:rsidRDefault="00A47CBE" w:rsidP="00AE1B5A">
            <w:pPr>
              <w:pStyle w:val="Corpsdetexte"/>
              <w:spacing w:before="120"/>
              <w:jc w:val="left"/>
              <w:rPr>
                <w:b/>
                <w:bCs/>
                <w:color w:val="FFFFFF" w:themeColor="background1"/>
              </w:rPr>
            </w:pPr>
            <w:r>
              <w:rPr>
                <w:b/>
                <w:bCs/>
                <w:color w:val="FFFFFF" w:themeColor="background1"/>
              </w:rPr>
              <w:t xml:space="preserve">5. </w:t>
            </w:r>
            <w:r w:rsidR="00DB2135">
              <w:rPr>
                <w:b/>
                <w:bCs/>
                <w:color w:val="FFFFFF" w:themeColor="background1"/>
              </w:rPr>
              <w:t>Risque</w:t>
            </w:r>
            <w:r w:rsidR="00CF56F2">
              <w:rPr>
                <w:b/>
                <w:bCs/>
                <w:color w:val="FFFFFF" w:themeColor="background1"/>
              </w:rPr>
              <w:t xml:space="preserve"> </w:t>
            </w:r>
            <w:r>
              <w:rPr>
                <w:b/>
                <w:bCs/>
                <w:color w:val="FFFFFF" w:themeColor="background1"/>
              </w:rPr>
              <w:t xml:space="preserve">de contrepartie </w:t>
            </w:r>
          </w:p>
        </w:tc>
        <w:tc>
          <w:tcPr>
            <w:tcW w:w="2154" w:type="dxa"/>
            <w:tcBorders>
              <w:top w:val="single" w:sz="8" w:space="0" w:color="161616" w:themeColor="text1"/>
              <w:left w:val="single" w:sz="8" w:space="0" w:color="161616" w:themeColor="text1"/>
              <w:bottom w:val="single" w:sz="8" w:space="0" w:color="161616" w:themeColor="text1"/>
              <w:right w:val="single" w:sz="8" w:space="0" w:color="161616" w:themeColor="text1"/>
            </w:tcBorders>
            <w:tcMar>
              <w:top w:w="72" w:type="dxa"/>
              <w:left w:w="144" w:type="dxa"/>
              <w:bottom w:w="72" w:type="dxa"/>
              <w:right w:w="144" w:type="dxa"/>
            </w:tcMar>
            <w:vAlign w:val="center"/>
          </w:tcPr>
          <w:p w14:paraId="435D9EE2" w14:textId="096D77DB" w:rsidR="00CF56F2" w:rsidRPr="00CF56F2" w:rsidRDefault="00CF56F2" w:rsidP="00CF56F2">
            <w:pPr>
              <w:pStyle w:val="Corpsdetexte"/>
              <w:spacing w:before="120"/>
              <w:jc w:val="left"/>
              <w:rPr>
                <w:rStyle w:val="Marquedecommentaire"/>
                <w:sz w:val="20"/>
                <w:szCs w:val="20"/>
              </w:rPr>
            </w:pPr>
            <w:r w:rsidRPr="00CF56F2">
              <w:rPr>
                <w:rStyle w:val="Marquedecommentaire"/>
                <w:sz w:val="20"/>
                <w:szCs w:val="20"/>
              </w:rPr>
              <w:t xml:space="preserve">Faillite de </w:t>
            </w:r>
            <w:r>
              <w:rPr>
                <w:rStyle w:val="Marquedecommentaire"/>
                <w:sz w:val="20"/>
                <w:szCs w:val="20"/>
              </w:rPr>
              <w:t>X</w:t>
            </w:r>
            <w:r w:rsidR="00F071D4">
              <w:rPr>
                <w:rStyle w:val="Marquedecommentaire"/>
                <w:sz w:val="20"/>
                <w:szCs w:val="20"/>
              </w:rPr>
              <w:t>%</w:t>
            </w:r>
            <w:r>
              <w:rPr>
                <w:rStyle w:val="Marquedecommentaire"/>
                <w:sz w:val="20"/>
                <w:szCs w:val="20"/>
              </w:rPr>
              <w:t xml:space="preserve"> des </w:t>
            </w:r>
            <w:r w:rsidRPr="00CF56F2">
              <w:rPr>
                <w:rStyle w:val="Marquedecommentaire"/>
                <w:sz w:val="20"/>
                <w:szCs w:val="20"/>
              </w:rPr>
              <w:t>contrepartie</w:t>
            </w:r>
            <w:r>
              <w:rPr>
                <w:rStyle w:val="Marquedecommentaire"/>
                <w:sz w:val="20"/>
                <w:szCs w:val="20"/>
              </w:rPr>
              <w:t>s</w:t>
            </w:r>
            <w:r w:rsidRPr="00CF56F2">
              <w:rPr>
                <w:rStyle w:val="Marquedecommentaire"/>
                <w:sz w:val="20"/>
                <w:szCs w:val="20"/>
              </w:rPr>
              <w:t xml:space="preserve"> </w:t>
            </w:r>
            <w:r w:rsidR="005554A1">
              <w:rPr>
                <w:rStyle w:val="Marquedecommentaire"/>
                <w:sz w:val="20"/>
                <w:szCs w:val="20"/>
              </w:rPr>
              <w:t xml:space="preserve">non </w:t>
            </w:r>
            <w:r w:rsidR="0028001F">
              <w:rPr>
                <w:rStyle w:val="Marquedecommentaire"/>
                <w:sz w:val="20"/>
                <w:szCs w:val="20"/>
              </w:rPr>
              <w:t xml:space="preserve">compensées </w:t>
            </w:r>
            <w:r w:rsidR="00C01FAB">
              <w:rPr>
                <w:rStyle w:val="Marquedecommentaire"/>
                <w:sz w:val="20"/>
                <w:szCs w:val="20"/>
              </w:rPr>
              <w:t xml:space="preserve">ou sans </w:t>
            </w:r>
            <w:r w:rsidR="005554A1">
              <w:rPr>
                <w:rStyle w:val="Marquedecommentaire"/>
                <w:sz w:val="20"/>
                <w:szCs w:val="20"/>
              </w:rPr>
              <w:t xml:space="preserve">garantie </w:t>
            </w:r>
          </w:p>
          <w:p w14:paraId="79A51B04" w14:textId="77777777" w:rsidR="00CF56F2" w:rsidRPr="00CF56F2" w:rsidRDefault="00CF56F2" w:rsidP="00CF56F2">
            <w:pPr>
              <w:pStyle w:val="Corpsdetexte"/>
              <w:spacing w:before="120"/>
              <w:jc w:val="left"/>
              <w:rPr>
                <w:rStyle w:val="Marquedecommentaire"/>
                <w:sz w:val="20"/>
                <w:szCs w:val="20"/>
              </w:rPr>
            </w:pPr>
            <w:proofErr w:type="gramStart"/>
            <w:r w:rsidRPr="00CF56F2">
              <w:rPr>
                <w:rStyle w:val="Marquedecommentaire"/>
                <w:sz w:val="20"/>
                <w:szCs w:val="20"/>
              </w:rPr>
              <w:t>ou</w:t>
            </w:r>
            <w:proofErr w:type="gramEnd"/>
            <w:r w:rsidRPr="00CF56F2">
              <w:rPr>
                <w:rStyle w:val="Marquedecommentaire"/>
                <w:sz w:val="20"/>
                <w:szCs w:val="20"/>
              </w:rPr>
              <w:t xml:space="preserve"> </w:t>
            </w:r>
          </w:p>
          <w:p w14:paraId="71221868" w14:textId="4E0A5D44" w:rsidR="0022165D" w:rsidRPr="00AE1B5A" w:rsidRDefault="00CF56F2" w:rsidP="00AE1B5A">
            <w:pPr>
              <w:pStyle w:val="Corpsdetexte"/>
              <w:spacing w:before="120"/>
              <w:jc w:val="left"/>
              <w:rPr>
                <w:rStyle w:val="Marquedecommentaire"/>
                <w:sz w:val="20"/>
                <w:szCs w:val="20"/>
              </w:rPr>
            </w:pPr>
            <w:r w:rsidRPr="00CF56F2">
              <w:rPr>
                <w:rStyle w:val="Marquedecommentaire"/>
                <w:sz w:val="20"/>
                <w:szCs w:val="20"/>
              </w:rPr>
              <w:t>Perte de X% des actifs physiques utilisés comme couverture</w:t>
            </w:r>
          </w:p>
        </w:tc>
        <w:tc>
          <w:tcPr>
            <w:tcW w:w="5474" w:type="dxa"/>
            <w:tcBorders>
              <w:top w:val="single" w:sz="8" w:space="0" w:color="161616" w:themeColor="text1"/>
              <w:left w:val="single" w:sz="8" w:space="0" w:color="161616" w:themeColor="text1"/>
              <w:bottom w:val="single" w:sz="8" w:space="0" w:color="161616" w:themeColor="text1"/>
              <w:right w:val="single" w:sz="8" w:space="0" w:color="161616" w:themeColor="text1"/>
            </w:tcBorders>
            <w:vAlign w:val="center"/>
          </w:tcPr>
          <w:p w14:paraId="71B62E7B" w14:textId="341FFD4A" w:rsidR="00371347" w:rsidRDefault="00371347" w:rsidP="00AE1B5A">
            <w:pPr>
              <w:pStyle w:val="Corpsdetexte"/>
              <w:spacing w:before="120"/>
              <w:jc w:val="left"/>
              <w:rPr>
                <w:rStyle w:val="Marquedecommentaire"/>
                <w:sz w:val="20"/>
                <w:szCs w:val="20"/>
              </w:rPr>
            </w:pPr>
            <w:r>
              <w:rPr>
                <w:rStyle w:val="Marquedecommentaire"/>
                <w:sz w:val="20"/>
                <w:szCs w:val="20"/>
              </w:rPr>
              <w:t xml:space="preserve">Situation </w:t>
            </w:r>
            <w:r w:rsidR="005718C8" w:rsidRPr="00431DD0">
              <w:rPr>
                <w:rStyle w:val="Marquedecommentaire"/>
                <w:b/>
                <w:bCs/>
                <w:sz w:val="20"/>
                <w:szCs w:val="20"/>
              </w:rPr>
              <w:t>de perte partielle de couverture</w:t>
            </w:r>
            <w:r w:rsidR="006A46C1">
              <w:rPr>
                <w:rStyle w:val="Marquedecommentaire"/>
                <w:sz w:val="20"/>
                <w:szCs w:val="20"/>
              </w:rPr>
              <w:t xml:space="preserve"> </w:t>
            </w:r>
            <w:r w:rsidR="003A36D7">
              <w:rPr>
                <w:rStyle w:val="Marquedecommentaire"/>
                <w:sz w:val="20"/>
                <w:szCs w:val="20"/>
              </w:rPr>
              <w:t xml:space="preserve">affectant l’ensemble des périodes de livraison à venir </w:t>
            </w:r>
            <w:r w:rsidR="00323B64">
              <w:rPr>
                <w:rStyle w:val="Marquedecommentaire"/>
                <w:sz w:val="20"/>
                <w:szCs w:val="20"/>
              </w:rPr>
              <w:t xml:space="preserve">dans une conjoncture de </w:t>
            </w:r>
            <w:r w:rsidR="00323B64" w:rsidRPr="00431DD0">
              <w:rPr>
                <w:rStyle w:val="Marquedecommentaire"/>
                <w:b/>
                <w:bCs/>
                <w:sz w:val="20"/>
                <w:szCs w:val="20"/>
              </w:rPr>
              <w:t>hausse des prix</w:t>
            </w:r>
            <w:r w:rsidR="00323B64">
              <w:rPr>
                <w:rStyle w:val="Marquedecommentaire"/>
                <w:sz w:val="20"/>
                <w:szCs w:val="20"/>
              </w:rPr>
              <w:t xml:space="preserve"> d’intensité moyenne. </w:t>
            </w:r>
          </w:p>
        </w:tc>
      </w:tr>
      <w:tr w:rsidR="0022165D" w14:paraId="67AF4760" w14:textId="77777777" w:rsidTr="00A52280">
        <w:trPr>
          <w:trHeight w:val="1807"/>
        </w:trPr>
        <w:tc>
          <w:tcPr>
            <w:tcW w:w="1444" w:type="dxa"/>
            <w:tcBorders>
              <w:top w:val="single" w:sz="8" w:space="0" w:color="161616" w:themeColor="text1"/>
              <w:left w:val="single" w:sz="8" w:space="0" w:color="161616" w:themeColor="text1"/>
              <w:bottom w:val="single" w:sz="8" w:space="0" w:color="161616" w:themeColor="text1"/>
              <w:right w:val="single" w:sz="8" w:space="0" w:color="161616" w:themeColor="text1"/>
            </w:tcBorders>
            <w:shd w:val="clear" w:color="auto" w:fill="285F83" w:themeFill="text2"/>
            <w:tcMar>
              <w:top w:w="72" w:type="dxa"/>
              <w:left w:w="144" w:type="dxa"/>
              <w:bottom w:w="72" w:type="dxa"/>
              <w:right w:w="144" w:type="dxa"/>
            </w:tcMar>
            <w:vAlign w:val="center"/>
          </w:tcPr>
          <w:p w14:paraId="5FEF4D10" w14:textId="437A6AE7" w:rsidR="0022165D" w:rsidRPr="00B40E08" w:rsidRDefault="00364923" w:rsidP="00AE1B5A">
            <w:pPr>
              <w:pStyle w:val="Corpsdetexte"/>
              <w:spacing w:before="120"/>
              <w:jc w:val="left"/>
              <w:rPr>
                <w:b/>
                <w:bCs/>
                <w:color w:val="FFFFFF" w:themeColor="background1"/>
              </w:rPr>
            </w:pPr>
            <w:r>
              <w:rPr>
                <w:b/>
                <w:bCs/>
                <w:color w:val="FFFFFF" w:themeColor="background1"/>
              </w:rPr>
              <w:t xml:space="preserve">6. </w:t>
            </w:r>
            <w:r w:rsidR="00DB2135">
              <w:rPr>
                <w:b/>
                <w:bCs/>
                <w:color w:val="FFFFFF" w:themeColor="background1"/>
              </w:rPr>
              <w:t xml:space="preserve">Risque </w:t>
            </w:r>
            <w:r w:rsidR="00CD4CAF">
              <w:rPr>
                <w:b/>
                <w:bCs/>
                <w:color w:val="FFFFFF" w:themeColor="background1"/>
              </w:rPr>
              <w:t xml:space="preserve">de livraison physique </w:t>
            </w:r>
          </w:p>
        </w:tc>
        <w:tc>
          <w:tcPr>
            <w:tcW w:w="2154" w:type="dxa"/>
            <w:tcBorders>
              <w:top w:val="single" w:sz="8" w:space="0" w:color="161616" w:themeColor="text1"/>
              <w:left w:val="single" w:sz="8" w:space="0" w:color="161616" w:themeColor="text1"/>
              <w:bottom w:val="single" w:sz="8" w:space="0" w:color="161616" w:themeColor="text1"/>
              <w:right w:val="single" w:sz="8" w:space="0" w:color="161616" w:themeColor="text1"/>
            </w:tcBorders>
            <w:tcMar>
              <w:top w:w="72" w:type="dxa"/>
              <w:left w:w="144" w:type="dxa"/>
              <w:bottom w:w="72" w:type="dxa"/>
              <w:right w:w="144" w:type="dxa"/>
            </w:tcMar>
            <w:vAlign w:val="center"/>
          </w:tcPr>
          <w:p w14:paraId="7A6C4DA1" w14:textId="4BE8FC55" w:rsidR="0022165D" w:rsidRPr="00431DD0" w:rsidRDefault="00CF78E0" w:rsidP="00956EF2">
            <w:pPr>
              <w:pStyle w:val="Corpsdetexte"/>
              <w:spacing w:before="120"/>
              <w:jc w:val="left"/>
              <w:rPr>
                <w:rStyle w:val="Marquedecommentaire"/>
                <w:sz w:val="20"/>
                <w:szCs w:val="20"/>
              </w:rPr>
            </w:pPr>
            <w:r>
              <w:rPr>
                <w:rStyle w:val="Marquedecommentaire"/>
                <w:sz w:val="20"/>
                <w:szCs w:val="20"/>
              </w:rPr>
              <w:t>P</w:t>
            </w:r>
            <w:r w:rsidR="00172506">
              <w:rPr>
                <w:rStyle w:val="Marquedecommentaire"/>
                <w:sz w:val="20"/>
                <w:szCs w:val="20"/>
              </w:rPr>
              <w:t>rix de règlement des écarts supérieur au plafond de prix day-ahead (4 000 €/MWh)</w:t>
            </w:r>
            <w:r w:rsidR="00956EF2">
              <w:rPr>
                <w:rStyle w:val="Marquedecommentaire"/>
                <w:sz w:val="20"/>
                <w:szCs w:val="20"/>
              </w:rPr>
              <w:t xml:space="preserve"> pendant quelques heures</w:t>
            </w:r>
          </w:p>
        </w:tc>
        <w:tc>
          <w:tcPr>
            <w:tcW w:w="5474" w:type="dxa"/>
            <w:tcBorders>
              <w:top w:val="single" w:sz="8" w:space="0" w:color="161616" w:themeColor="text1"/>
              <w:left w:val="single" w:sz="8" w:space="0" w:color="161616" w:themeColor="text1"/>
              <w:bottom w:val="single" w:sz="8" w:space="0" w:color="161616" w:themeColor="text1"/>
              <w:right w:val="single" w:sz="8" w:space="0" w:color="161616" w:themeColor="text1"/>
            </w:tcBorders>
            <w:vAlign w:val="center"/>
          </w:tcPr>
          <w:p w14:paraId="61DE2A9D" w14:textId="3DE507CE" w:rsidR="000613FA" w:rsidRDefault="000613FA" w:rsidP="00E1195A">
            <w:pPr>
              <w:pStyle w:val="Corpsdetexte"/>
              <w:spacing w:before="120"/>
              <w:jc w:val="left"/>
            </w:pPr>
            <w:r>
              <w:t xml:space="preserve">Augmentation du </w:t>
            </w:r>
            <w:r w:rsidR="00BB188B" w:rsidRPr="00431DD0">
              <w:rPr>
                <w:b/>
                <w:bCs/>
              </w:rPr>
              <w:t>p</w:t>
            </w:r>
            <w:r w:rsidRPr="00431DD0">
              <w:rPr>
                <w:b/>
                <w:bCs/>
              </w:rPr>
              <w:t>rix de règlement des écarts</w:t>
            </w:r>
            <w:r>
              <w:t xml:space="preserve"> au-dessus du plafond de prix day-ahead pendant quelques heures, conduisant à un </w:t>
            </w:r>
            <w:r w:rsidR="007D7D8C">
              <w:t xml:space="preserve">écart </w:t>
            </w:r>
            <w:r w:rsidR="00B535D4">
              <w:t xml:space="preserve">entre le prix de référence </w:t>
            </w:r>
            <w:r w:rsidR="00082668">
              <w:t xml:space="preserve">des contrats de hedge financier </w:t>
            </w:r>
            <w:r w:rsidR="00CE578B">
              <w:t xml:space="preserve">et le prix </w:t>
            </w:r>
            <w:r w:rsidR="00CC251D">
              <w:t xml:space="preserve">de marché </w:t>
            </w:r>
            <w:r w:rsidR="00BB188B">
              <w:t xml:space="preserve">caractérisant </w:t>
            </w:r>
            <w:r w:rsidR="00495143">
              <w:t>l’exposi</w:t>
            </w:r>
            <w:r w:rsidR="00985F34">
              <w:t>tion commerciale réelle du fournisseur</w:t>
            </w:r>
            <w:r w:rsidR="00CE578B">
              <w:t xml:space="preserve"> </w:t>
            </w:r>
          </w:p>
        </w:tc>
      </w:tr>
    </w:tbl>
    <w:p w14:paraId="2D1F6603" w14:textId="1D6CFED8" w:rsidR="009A1A47" w:rsidRPr="001E5260" w:rsidRDefault="52F593B7" w:rsidP="00431DD0">
      <w:pPr>
        <w:pStyle w:val="Corpsdetexte"/>
      </w:pPr>
      <w:proofErr w:type="gramStart"/>
      <w:r>
        <w:t>NB:</w:t>
      </w:r>
      <w:proofErr w:type="gramEnd"/>
      <w:r>
        <w:t xml:space="preserve"> les scenarios présentés ci-dessus sont donnés à titre d’exemple</w:t>
      </w:r>
    </w:p>
    <w:p w14:paraId="291D04ED" w14:textId="1D0F54B8" w:rsidR="008F0199" w:rsidRDefault="008F0199" w:rsidP="008F0199">
      <w:pPr>
        <w:pStyle w:val="Corpsdetexte"/>
        <w:spacing w:after="0"/>
        <w:rPr>
          <w:b/>
          <w:bCs/>
        </w:rPr>
      </w:pPr>
    </w:p>
    <w:p w14:paraId="5952B8AF" w14:textId="77777777" w:rsidR="008F0199" w:rsidRPr="004564EB" w:rsidRDefault="008F0199" w:rsidP="008305F4">
      <w:pPr>
        <w:pStyle w:val="Titre3"/>
      </w:pPr>
      <w:bookmarkStart w:id="47" w:name="_Toc232094760"/>
      <w:r w:rsidRPr="004564EB">
        <w:t>Critères du test</w:t>
      </w:r>
      <w:bookmarkEnd w:id="47"/>
    </w:p>
    <w:p w14:paraId="76CA7E8B" w14:textId="60B70D14" w:rsidR="00996C5F" w:rsidRDefault="008443B4" w:rsidP="00996C5F">
      <w:pPr>
        <w:pStyle w:val="Corpsdetexte"/>
      </w:pPr>
      <w:r>
        <w:t xml:space="preserve">Le test financier approfondi conduit à </w:t>
      </w:r>
      <w:r w:rsidR="007C79AF">
        <w:t xml:space="preserve">modéliser </w:t>
      </w:r>
      <w:r w:rsidR="00851197">
        <w:t xml:space="preserve">les états financiers du </w:t>
      </w:r>
      <w:r w:rsidR="00851197" w:rsidRPr="00F155CA">
        <w:t xml:space="preserve">fournisseur </w:t>
      </w:r>
      <w:r w:rsidR="003320AB" w:rsidRPr="00842452">
        <w:t>aux échéances trimestrielles</w:t>
      </w:r>
      <w:r w:rsidR="003320AB" w:rsidRPr="00F155CA">
        <w:t xml:space="preserve"> </w:t>
      </w:r>
      <w:r w:rsidR="005359BA" w:rsidRPr="00F155CA">
        <w:t xml:space="preserve">jusqu’à la fin de l’année </w:t>
      </w:r>
      <w:r w:rsidR="000A6AE8" w:rsidRPr="00F155CA">
        <w:t>N</w:t>
      </w:r>
      <w:r w:rsidR="00D06441" w:rsidRPr="00F155CA">
        <w:t xml:space="preserve"> puis au 31/12/</w:t>
      </w:r>
      <w:r w:rsidR="000A6AE8" w:rsidRPr="00F155CA">
        <w:t>N</w:t>
      </w:r>
      <w:r w:rsidR="005359BA" w:rsidRPr="00F155CA">
        <w:t>+1</w:t>
      </w:r>
      <w:r w:rsidR="003320AB" w:rsidRPr="00F155CA">
        <w:t xml:space="preserve"> </w:t>
      </w:r>
      <w:r w:rsidR="007C79AF" w:rsidRPr="00F155CA">
        <w:t xml:space="preserve">en fonction </w:t>
      </w:r>
      <w:r w:rsidR="001B7AA8" w:rsidRPr="00F155CA">
        <w:t>des</w:t>
      </w:r>
      <w:r w:rsidR="007C79AF" w:rsidRPr="00F155CA">
        <w:t xml:space="preserve"> </w:t>
      </w:r>
      <w:r w:rsidR="00310121" w:rsidRPr="00F155CA">
        <w:t>différents</w:t>
      </w:r>
      <w:r w:rsidR="00310121">
        <w:t xml:space="preserve"> </w:t>
      </w:r>
      <w:r w:rsidR="007C79AF">
        <w:t>scénarios</w:t>
      </w:r>
      <w:r w:rsidR="00851197">
        <w:t xml:space="preserve">. </w:t>
      </w:r>
      <w:r w:rsidR="00996C5F">
        <w:t xml:space="preserve">Le fournisseur </w:t>
      </w:r>
      <w:r w:rsidR="00BA5CD1">
        <w:t>est</w:t>
      </w:r>
      <w:r w:rsidR="00996C5F">
        <w:t xml:space="preserve"> en conformité si les </w:t>
      </w:r>
      <w:r w:rsidR="00977731">
        <w:t>métriques</w:t>
      </w:r>
      <w:r w:rsidR="00996C5F">
        <w:t xml:space="preserve"> </w:t>
      </w:r>
      <w:r w:rsidR="00977731">
        <w:t xml:space="preserve">de capacité </w:t>
      </w:r>
      <w:r w:rsidR="00996C5F">
        <w:t>financi</w:t>
      </w:r>
      <w:r w:rsidR="00977731">
        <w:t>ère</w:t>
      </w:r>
      <w:r w:rsidR="00996C5F">
        <w:t xml:space="preserve"> en sortie du modèle </w:t>
      </w:r>
      <w:r w:rsidR="00977731">
        <w:t xml:space="preserve">restent positives dans chacun </w:t>
      </w:r>
      <w:r w:rsidR="00996C5F">
        <w:t>des scénarios appliqués</w:t>
      </w:r>
      <w:r w:rsidR="00B860DD">
        <w:t xml:space="preserve"> et à chaque échéance considérée. </w:t>
      </w:r>
    </w:p>
    <w:p w14:paraId="44382D28" w14:textId="3B462A29" w:rsidR="008F0199" w:rsidRDefault="000C75C5" w:rsidP="008F0199">
      <w:pPr>
        <w:pStyle w:val="Corpsdetexte"/>
        <w:spacing w:after="0"/>
      </w:pPr>
      <w:r>
        <w:t>Comme pour le test simplifié, l</w:t>
      </w:r>
      <w:r w:rsidR="008F0199">
        <w:t>es critères de validation du test approfondi sont cumulatifs : chacun des montants de liquidité et de solvabilité doit être supérieur aux impacts financiers de chacun des scénarios</w:t>
      </w:r>
      <w:r>
        <w:t> :</w:t>
      </w:r>
    </w:p>
    <w:p w14:paraId="3A2940F5" w14:textId="77777777" w:rsidR="008F0199" w:rsidRDefault="008F0199" w:rsidP="008F0199">
      <w:pPr>
        <w:pStyle w:val="Corpsdetexte"/>
      </w:pPr>
    </w:p>
    <w:p w14:paraId="5BADC048" w14:textId="77777777" w:rsidR="008F0199" w:rsidRDefault="00000F3D" w:rsidP="008F0199">
      <w:pPr>
        <w:pStyle w:val="Corpsdetexte"/>
        <w:jc w:val="center"/>
        <w:rPr>
          <w:rFonts w:eastAsiaTheme="minorEastAsia"/>
        </w:rPr>
      </w:pPr>
      <m:oMath>
        <m:r>
          <w:rPr>
            <w:rFonts w:ascii="Cambria Math" w:hAnsi="Cambria Math"/>
          </w:rPr>
          <m:t>C1 : Impact financier&lt; Fonds Propres</m:t>
        </m:r>
      </m:oMath>
      <w:r w:rsidR="008F0199">
        <w:rPr>
          <w:rFonts w:eastAsiaTheme="minorEastAsia"/>
        </w:rPr>
        <w:t xml:space="preserve">   </w:t>
      </w:r>
    </w:p>
    <w:p w14:paraId="33B67CB9" w14:textId="77777777" w:rsidR="008F0199" w:rsidRPr="00EC1561" w:rsidRDefault="008F0199" w:rsidP="008F0199">
      <w:pPr>
        <w:pStyle w:val="Corpsdetexte"/>
        <w:jc w:val="center"/>
        <w:rPr>
          <w:rFonts w:eastAsiaTheme="minorEastAsia"/>
        </w:rPr>
      </w:pPr>
      <w:r>
        <w:rPr>
          <w:rFonts w:eastAsiaTheme="minorEastAsia"/>
        </w:rPr>
        <w:t xml:space="preserve"> </w:t>
      </w:r>
      <m:oMath>
        <m:r>
          <w:rPr>
            <w:rFonts w:ascii="Cambria Math" w:eastAsiaTheme="minorEastAsia" w:hAnsi="Cambria Math"/>
          </w:rPr>
          <m:t xml:space="preserve">C2 : </m:t>
        </m:r>
        <m:r>
          <w:rPr>
            <w:rFonts w:ascii="Cambria Math" w:hAnsi="Cambria Math"/>
          </w:rPr>
          <m:t>Impact financier&lt;Liquidités</m:t>
        </m:r>
      </m:oMath>
    </w:p>
    <w:p w14:paraId="22EE0BA2" w14:textId="118E235E" w:rsidR="00E430FB" w:rsidRDefault="00E430FB" w:rsidP="005828F2">
      <w:pPr>
        <w:pStyle w:val="Corpsdetexte"/>
      </w:pPr>
    </w:p>
    <w:p w14:paraId="5E8CE0D3" w14:textId="77777777" w:rsidR="00D20A7B" w:rsidRPr="00E430FB" w:rsidRDefault="00D20A7B" w:rsidP="00E430FB">
      <w:pPr>
        <w:pStyle w:val="Corpsdetexte"/>
      </w:pPr>
    </w:p>
    <w:p w14:paraId="7274FC49" w14:textId="2604D863" w:rsidR="001358E3" w:rsidRDefault="001358E3" w:rsidP="001358E3">
      <w:pPr>
        <w:pStyle w:val="Titre1"/>
      </w:pPr>
      <w:bookmarkStart w:id="48" w:name="_Toc232094761"/>
      <w:r>
        <w:lastRenderedPageBreak/>
        <w:t>Suivi de la politique de gestion des risques et de la gouvernance</w:t>
      </w:r>
      <w:bookmarkEnd w:id="48"/>
    </w:p>
    <w:p w14:paraId="10708299" w14:textId="058E2801" w:rsidR="001358E3" w:rsidRDefault="001358E3" w:rsidP="00372EFD">
      <w:pPr>
        <w:pStyle w:val="Titre2"/>
      </w:pPr>
      <w:bookmarkStart w:id="49" w:name="_Toc232094762"/>
      <w:r>
        <w:t>Qualification et identification des risques supportés par la société</w:t>
      </w:r>
      <w:bookmarkEnd w:id="49"/>
    </w:p>
    <w:p w14:paraId="28672B59" w14:textId="5EF2BE2D" w:rsidR="007C502F" w:rsidRDefault="00FF16C8" w:rsidP="00431DD0">
      <w:pPr>
        <w:pStyle w:val="pf0"/>
        <w:spacing w:before="0" w:beforeAutospacing="0" w:after="0" w:afterAutospacing="0"/>
        <w:jc w:val="both"/>
        <w:rPr>
          <w:rFonts w:asciiTheme="minorHAnsi" w:eastAsiaTheme="minorEastAsia" w:hAnsiTheme="minorHAnsi" w:cstheme="minorBidi"/>
          <w:kern w:val="2"/>
          <w:sz w:val="20"/>
          <w:szCs w:val="20"/>
          <w:lang w:eastAsia="en-US"/>
          <w14:ligatures w14:val="standardContextual"/>
        </w:rPr>
      </w:pPr>
      <w:r w:rsidRPr="15E7A362">
        <w:rPr>
          <w:rFonts w:asciiTheme="minorHAnsi" w:eastAsiaTheme="minorEastAsia" w:hAnsiTheme="minorHAnsi" w:cstheme="minorBidi"/>
          <w:kern w:val="2"/>
          <w:sz w:val="20"/>
          <w:szCs w:val="20"/>
          <w:lang w:eastAsia="en-US"/>
          <w14:ligatures w14:val="standardContextual"/>
        </w:rPr>
        <w:t xml:space="preserve">La CRE </w:t>
      </w:r>
      <w:r w:rsidR="009525BC">
        <w:rPr>
          <w:rFonts w:asciiTheme="minorHAnsi" w:eastAsiaTheme="minorEastAsia" w:hAnsiTheme="minorHAnsi" w:cstheme="minorBidi"/>
          <w:kern w:val="2"/>
          <w:sz w:val="20"/>
          <w:szCs w:val="20"/>
          <w:lang w:eastAsia="en-US"/>
          <w14:ligatures w14:val="standardContextual"/>
        </w:rPr>
        <w:t>demande</w:t>
      </w:r>
      <w:r w:rsidRPr="15E7A362">
        <w:rPr>
          <w:rFonts w:asciiTheme="minorHAnsi" w:eastAsiaTheme="minorEastAsia" w:hAnsiTheme="minorHAnsi" w:cstheme="minorBidi"/>
          <w:kern w:val="2"/>
          <w:sz w:val="20"/>
          <w:szCs w:val="20"/>
          <w:lang w:eastAsia="en-US"/>
          <w14:ligatures w14:val="standardContextual"/>
        </w:rPr>
        <w:t xml:space="preserve"> que le suivi </w:t>
      </w:r>
      <w:r w:rsidR="007C502F" w:rsidRPr="15E7A362">
        <w:rPr>
          <w:rFonts w:asciiTheme="minorHAnsi" w:eastAsiaTheme="minorEastAsia" w:hAnsiTheme="minorHAnsi" w:cstheme="minorBidi"/>
          <w:kern w:val="2"/>
          <w:sz w:val="20"/>
          <w:szCs w:val="20"/>
          <w:lang w:eastAsia="en-US"/>
          <w14:ligatures w14:val="standardContextual"/>
        </w:rPr>
        <w:t>des risques</w:t>
      </w:r>
      <w:r w:rsidRPr="15E7A362">
        <w:rPr>
          <w:rFonts w:asciiTheme="minorHAnsi" w:eastAsiaTheme="minorEastAsia" w:hAnsiTheme="minorHAnsi" w:cstheme="minorBidi"/>
          <w:kern w:val="2"/>
          <w:sz w:val="20"/>
          <w:szCs w:val="20"/>
          <w:lang w:eastAsia="en-US"/>
          <w14:ligatures w14:val="standardContextual"/>
        </w:rPr>
        <w:t xml:space="preserve"> s’appu</w:t>
      </w:r>
      <w:r w:rsidR="00F04393">
        <w:rPr>
          <w:rFonts w:asciiTheme="minorHAnsi" w:eastAsiaTheme="minorEastAsia" w:hAnsiTheme="minorHAnsi" w:cstheme="minorBidi"/>
          <w:kern w:val="2"/>
          <w:sz w:val="20"/>
          <w:szCs w:val="20"/>
          <w:lang w:eastAsia="en-US"/>
          <w14:ligatures w14:val="standardContextual"/>
        </w:rPr>
        <w:t>ie</w:t>
      </w:r>
      <w:r w:rsidRPr="15E7A362">
        <w:rPr>
          <w:rFonts w:asciiTheme="minorHAnsi" w:eastAsiaTheme="minorEastAsia" w:hAnsiTheme="minorHAnsi" w:cstheme="minorBidi"/>
          <w:kern w:val="2"/>
          <w:sz w:val="20"/>
          <w:szCs w:val="20"/>
          <w:lang w:eastAsia="en-US"/>
          <w14:ligatures w14:val="standardContextual"/>
        </w:rPr>
        <w:t xml:space="preserve"> sur (i) une cartographie des risques de l’entreprise pouvant </w:t>
      </w:r>
      <w:r w:rsidR="00F04393">
        <w:rPr>
          <w:rFonts w:asciiTheme="minorHAnsi" w:eastAsiaTheme="minorEastAsia" w:hAnsiTheme="minorHAnsi" w:cstheme="minorBidi"/>
          <w:kern w:val="2"/>
          <w:sz w:val="20"/>
          <w:szCs w:val="20"/>
          <w:lang w:eastAsia="en-US"/>
          <w14:ligatures w14:val="standardContextual"/>
        </w:rPr>
        <w:t>dégrader</w:t>
      </w:r>
      <w:r w:rsidR="00F04393" w:rsidRPr="15E7A362">
        <w:rPr>
          <w:rFonts w:asciiTheme="minorHAnsi" w:eastAsiaTheme="minorEastAsia" w:hAnsiTheme="minorHAnsi" w:cstheme="minorBidi"/>
          <w:kern w:val="2"/>
          <w:sz w:val="20"/>
          <w:szCs w:val="20"/>
          <w:lang w:eastAsia="en-US"/>
          <w14:ligatures w14:val="standardContextual"/>
        </w:rPr>
        <w:t xml:space="preserve"> </w:t>
      </w:r>
      <w:r w:rsidRPr="15E7A362">
        <w:rPr>
          <w:rFonts w:asciiTheme="minorHAnsi" w:eastAsiaTheme="minorEastAsia" w:hAnsiTheme="minorHAnsi" w:cstheme="minorBidi"/>
          <w:kern w:val="2"/>
          <w:sz w:val="20"/>
          <w:szCs w:val="20"/>
          <w:lang w:eastAsia="en-US"/>
          <w14:ligatures w14:val="standardContextual"/>
        </w:rPr>
        <w:t xml:space="preserve">sa situation financière, (ii) une analyse de la portée de chaque risque </w:t>
      </w:r>
      <w:r w:rsidR="007C502F" w:rsidRPr="15E7A362">
        <w:rPr>
          <w:rFonts w:asciiTheme="minorHAnsi" w:eastAsiaTheme="minorEastAsia" w:hAnsiTheme="minorHAnsi" w:cstheme="minorBidi"/>
          <w:kern w:val="2"/>
          <w:sz w:val="20"/>
          <w:szCs w:val="20"/>
          <w:lang w:eastAsia="en-US"/>
          <w14:ligatures w14:val="standardContextual"/>
        </w:rPr>
        <w:t xml:space="preserve">et </w:t>
      </w:r>
      <w:r w:rsidRPr="15E7A362">
        <w:rPr>
          <w:rFonts w:asciiTheme="minorHAnsi" w:eastAsiaTheme="minorEastAsia" w:hAnsiTheme="minorHAnsi" w:cstheme="minorBidi"/>
          <w:kern w:val="2"/>
          <w:sz w:val="20"/>
          <w:szCs w:val="20"/>
          <w:lang w:eastAsia="en-US"/>
          <w14:ligatures w14:val="standardContextual"/>
        </w:rPr>
        <w:t xml:space="preserve">(iii) une quantification des limites d’exposition. Ces </w:t>
      </w:r>
      <w:r w:rsidR="4623E4AB" w:rsidRPr="15E7A362">
        <w:rPr>
          <w:rFonts w:asciiTheme="minorHAnsi" w:eastAsiaTheme="minorEastAsia" w:hAnsiTheme="minorHAnsi" w:cstheme="minorBidi"/>
          <w:kern w:val="2"/>
          <w:sz w:val="20"/>
          <w:szCs w:val="20"/>
          <w:lang w:eastAsia="en-US"/>
          <w14:ligatures w14:val="standardContextual"/>
        </w:rPr>
        <w:t>trois</w:t>
      </w:r>
      <w:r w:rsidRPr="15E7A362">
        <w:rPr>
          <w:rFonts w:asciiTheme="minorHAnsi" w:eastAsiaTheme="minorEastAsia" w:hAnsiTheme="minorHAnsi" w:cstheme="minorBidi"/>
          <w:kern w:val="2"/>
          <w:sz w:val="20"/>
          <w:szCs w:val="20"/>
          <w:lang w:eastAsia="en-US"/>
          <w14:ligatures w14:val="standardContextual"/>
        </w:rPr>
        <w:t xml:space="preserve"> éléments </w:t>
      </w:r>
      <w:r w:rsidR="009525BC" w:rsidRPr="15E7A362">
        <w:rPr>
          <w:rFonts w:asciiTheme="minorHAnsi" w:eastAsiaTheme="minorEastAsia" w:hAnsiTheme="minorHAnsi" w:cstheme="minorBidi"/>
          <w:kern w:val="2"/>
          <w:sz w:val="20"/>
          <w:szCs w:val="20"/>
          <w:lang w:eastAsia="en-US"/>
          <w14:ligatures w14:val="standardContextual"/>
        </w:rPr>
        <w:t>d</w:t>
      </w:r>
      <w:r w:rsidR="009525BC">
        <w:rPr>
          <w:rFonts w:asciiTheme="minorHAnsi" w:eastAsiaTheme="minorEastAsia" w:hAnsiTheme="minorHAnsi" w:cstheme="minorBidi"/>
          <w:kern w:val="2"/>
          <w:sz w:val="20"/>
          <w:szCs w:val="20"/>
          <w:lang w:eastAsia="en-US"/>
          <w14:ligatures w14:val="standardContextual"/>
        </w:rPr>
        <w:t>oiv</w:t>
      </w:r>
      <w:r w:rsidR="009525BC" w:rsidRPr="15E7A362">
        <w:rPr>
          <w:rFonts w:asciiTheme="minorHAnsi" w:eastAsiaTheme="minorEastAsia" w:hAnsiTheme="minorHAnsi" w:cstheme="minorBidi"/>
          <w:kern w:val="2"/>
          <w:sz w:val="20"/>
          <w:szCs w:val="20"/>
          <w:lang w:eastAsia="en-US"/>
          <w14:ligatures w14:val="standardContextual"/>
        </w:rPr>
        <w:t xml:space="preserve">ent </w:t>
      </w:r>
      <w:r w:rsidRPr="15E7A362">
        <w:rPr>
          <w:rFonts w:asciiTheme="minorHAnsi" w:eastAsiaTheme="minorEastAsia" w:hAnsiTheme="minorHAnsi" w:cstheme="minorBidi"/>
          <w:kern w:val="2"/>
          <w:sz w:val="20"/>
          <w:szCs w:val="20"/>
          <w:lang w:eastAsia="en-US"/>
          <w14:ligatures w14:val="standardContextual"/>
        </w:rPr>
        <w:t>être communiqués à la CRE au travers d’un document descriptif</w:t>
      </w:r>
      <w:r w:rsidR="0068646B">
        <w:rPr>
          <w:rFonts w:asciiTheme="minorHAnsi" w:eastAsiaTheme="minorEastAsia" w:hAnsiTheme="minorHAnsi" w:cstheme="minorBidi"/>
          <w:kern w:val="2"/>
          <w:sz w:val="20"/>
          <w:szCs w:val="20"/>
          <w:lang w:eastAsia="en-US"/>
          <w14:ligatures w14:val="standardContextual"/>
        </w:rPr>
        <w:t xml:space="preserve"> lors de chaque guichet de contrôle</w:t>
      </w:r>
      <w:r w:rsidRPr="15E7A362">
        <w:rPr>
          <w:rFonts w:asciiTheme="minorHAnsi" w:eastAsiaTheme="minorEastAsia" w:hAnsiTheme="minorHAnsi" w:cstheme="minorBidi"/>
          <w:kern w:val="2"/>
          <w:sz w:val="20"/>
          <w:szCs w:val="20"/>
          <w:lang w:eastAsia="en-US"/>
          <w14:ligatures w14:val="standardContextual"/>
        </w:rPr>
        <w:t xml:space="preserve">. </w:t>
      </w:r>
    </w:p>
    <w:p w14:paraId="6A442757" w14:textId="21769F76" w:rsidR="001D64F5" w:rsidRDefault="00F76CCB" w:rsidP="00431DD0">
      <w:pPr>
        <w:pStyle w:val="pf0"/>
        <w:spacing w:before="0" w:beforeAutospacing="0" w:after="0" w:afterAutospacing="0"/>
        <w:jc w:val="both"/>
        <w:rPr>
          <w:rFonts w:asciiTheme="minorHAnsi" w:eastAsiaTheme="minorEastAsia" w:hAnsiTheme="minorHAnsi" w:cstheme="minorBidi"/>
          <w:kern w:val="2"/>
          <w:sz w:val="20"/>
          <w:szCs w:val="20"/>
          <w:lang w:eastAsia="en-US"/>
          <w14:ligatures w14:val="standardContextual"/>
        </w:rPr>
      </w:pPr>
      <w:r>
        <w:rPr>
          <w:rFonts w:asciiTheme="minorHAnsi" w:eastAsiaTheme="minorEastAsia" w:hAnsiTheme="minorHAnsi" w:cstheme="minorBidi"/>
          <w:kern w:val="2"/>
          <w:sz w:val="20"/>
          <w:szCs w:val="20"/>
          <w:lang w:eastAsia="en-US"/>
          <w14:ligatures w14:val="standardContextual"/>
        </w:rPr>
        <w:t xml:space="preserve">La CRE maintient que la </w:t>
      </w:r>
      <w:r w:rsidR="00987789">
        <w:rPr>
          <w:rFonts w:asciiTheme="minorHAnsi" w:eastAsiaTheme="minorEastAsia" w:hAnsiTheme="minorHAnsi" w:cstheme="minorBidi"/>
          <w:kern w:val="2"/>
          <w:sz w:val="20"/>
          <w:szCs w:val="20"/>
          <w:lang w:eastAsia="en-US"/>
          <w14:ligatures w14:val="standardContextual"/>
        </w:rPr>
        <w:t xml:space="preserve">formalisation de cette cartographie des risques est une pratique à promouvoir, et souhaite donc que sa transmission fasse partie des obligations prudentielles une fois la régulation inscrite dans la loi. Dans le cadre du </w:t>
      </w:r>
      <w:r w:rsidR="005512A1">
        <w:rPr>
          <w:rFonts w:asciiTheme="minorHAnsi" w:eastAsiaTheme="minorEastAsia" w:hAnsiTheme="minorHAnsi" w:cstheme="minorBidi"/>
          <w:kern w:val="2"/>
          <w:sz w:val="20"/>
          <w:szCs w:val="20"/>
          <w:lang w:eastAsia="en-US"/>
          <w14:ligatures w14:val="standardContextual"/>
        </w:rPr>
        <w:t>dispositif</w:t>
      </w:r>
      <w:r w:rsidR="00987789">
        <w:rPr>
          <w:rFonts w:asciiTheme="minorHAnsi" w:eastAsiaTheme="minorEastAsia" w:hAnsiTheme="minorHAnsi" w:cstheme="minorBidi"/>
          <w:kern w:val="2"/>
          <w:sz w:val="20"/>
          <w:szCs w:val="20"/>
          <w:lang w:eastAsia="en-US"/>
          <w14:ligatures w14:val="standardContextual"/>
        </w:rPr>
        <w:t xml:space="preserve"> transitoire, la CRE invite </w:t>
      </w:r>
      <w:r w:rsidR="00791175">
        <w:rPr>
          <w:rFonts w:asciiTheme="minorHAnsi" w:eastAsiaTheme="minorEastAsia" w:hAnsiTheme="minorHAnsi" w:cstheme="minorBidi"/>
          <w:kern w:val="2"/>
          <w:sz w:val="20"/>
          <w:szCs w:val="20"/>
          <w:lang w:eastAsia="en-US"/>
          <w14:ligatures w14:val="standardContextual"/>
        </w:rPr>
        <w:t xml:space="preserve">fortement </w:t>
      </w:r>
      <w:r w:rsidR="00987789">
        <w:rPr>
          <w:rFonts w:asciiTheme="minorHAnsi" w:eastAsiaTheme="minorEastAsia" w:hAnsiTheme="minorHAnsi" w:cstheme="minorBidi"/>
          <w:kern w:val="2"/>
          <w:sz w:val="20"/>
          <w:szCs w:val="20"/>
          <w:lang w:eastAsia="en-US"/>
          <w14:ligatures w14:val="standardContextual"/>
        </w:rPr>
        <w:t xml:space="preserve">les fournisseurs à lui transmettre cette cartographie, </w:t>
      </w:r>
      <w:r w:rsidR="00A25BA4">
        <w:rPr>
          <w:rFonts w:asciiTheme="minorHAnsi" w:eastAsiaTheme="minorEastAsia" w:hAnsiTheme="minorHAnsi" w:cstheme="minorBidi"/>
          <w:kern w:val="2"/>
          <w:sz w:val="20"/>
          <w:szCs w:val="20"/>
          <w:lang w:eastAsia="en-US"/>
          <w14:ligatures w14:val="standardContextual"/>
        </w:rPr>
        <w:t>qui alimentera sa compréhension de l’environnement de gestion de risque du fournisseur concerné.</w:t>
      </w:r>
    </w:p>
    <w:p w14:paraId="0FA11E92" w14:textId="231BD199" w:rsidR="00FF16C8" w:rsidRDefault="009525BC" w:rsidP="00431DD0">
      <w:pPr>
        <w:pStyle w:val="pf0"/>
        <w:spacing w:before="0" w:beforeAutospacing="0" w:after="0" w:afterAutospacing="0"/>
        <w:jc w:val="both"/>
        <w:rPr>
          <w:rFonts w:asciiTheme="minorHAnsi" w:eastAsiaTheme="minorHAnsi" w:hAnsiTheme="minorHAnsi" w:cstheme="minorBidi"/>
          <w:kern w:val="2"/>
          <w:sz w:val="20"/>
          <w:lang w:eastAsia="en-US"/>
          <w14:ligatures w14:val="standardContextual"/>
        </w:rPr>
      </w:pPr>
      <w:r>
        <w:rPr>
          <w:rFonts w:asciiTheme="minorHAnsi" w:eastAsiaTheme="minorHAnsi" w:hAnsiTheme="minorHAnsi" w:cstheme="minorBidi"/>
          <w:kern w:val="2"/>
          <w:sz w:val="20"/>
          <w:lang w:eastAsia="en-US"/>
          <w14:ligatures w14:val="standardContextual"/>
        </w:rPr>
        <w:t>L</w:t>
      </w:r>
      <w:r w:rsidR="00FF16C8" w:rsidRPr="00650020">
        <w:rPr>
          <w:rFonts w:asciiTheme="minorHAnsi" w:eastAsiaTheme="minorHAnsi" w:hAnsiTheme="minorHAnsi" w:cstheme="minorBidi"/>
          <w:kern w:val="2"/>
          <w:sz w:val="20"/>
          <w:lang w:eastAsia="en-US"/>
          <w14:ligatures w14:val="standardContextual"/>
        </w:rPr>
        <w:t xml:space="preserve">a CRE estime que </w:t>
      </w:r>
      <w:r w:rsidR="00631267">
        <w:rPr>
          <w:rFonts w:asciiTheme="minorHAnsi" w:eastAsiaTheme="minorHAnsi" w:hAnsiTheme="minorHAnsi" w:cstheme="minorBidi"/>
          <w:kern w:val="2"/>
          <w:sz w:val="20"/>
          <w:lang w:eastAsia="en-US"/>
          <w14:ligatures w14:val="standardContextual"/>
        </w:rPr>
        <w:t xml:space="preserve">la cartographie des risques </w:t>
      </w:r>
      <w:r w:rsidR="00D26150">
        <w:rPr>
          <w:rFonts w:asciiTheme="minorHAnsi" w:eastAsiaTheme="minorHAnsi" w:hAnsiTheme="minorHAnsi" w:cstheme="minorBidi"/>
          <w:kern w:val="2"/>
          <w:sz w:val="20"/>
          <w:lang w:eastAsia="en-US"/>
          <w14:ligatures w14:val="standardContextual"/>
        </w:rPr>
        <w:t xml:space="preserve">qu’elle promeut </w:t>
      </w:r>
      <w:r w:rsidR="00631267">
        <w:rPr>
          <w:rFonts w:asciiTheme="minorHAnsi" w:eastAsiaTheme="minorHAnsi" w:hAnsiTheme="minorHAnsi" w:cstheme="minorBidi"/>
          <w:kern w:val="2"/>
          <w:sz w:val="20"/>
          <w:lang w:eastAsia="en-US"/>
          <w14:ligatures w14:val="standardContextual"/>
        </w:rPr>
        <w:t xml:space="preserve">devrait </w:t>
      </w:r>
      <w:proofErr w:type="gramStart"/>
      <w:r w:rsidR="00631267">
        <w:rPr>
          <w:rFonts w:asciiTheme="minorHAnsi" w:eastAsiaTheme="minorHAnsi" w:hAnsiTheme="minorHAnsi" w:cstheme="minorBidi"/>
          <w:i/>
          <w:iCs/>
          <w:kern w:val="2"/>
          <w:sz w:val="20"/>
          <w:lang w:eastAsia="en-US"/>
          <w14:ligatures w14:val="standardContextual"/>
        </w:rPr>
        <w:t>a</w:t>
      </w:r>
      <w:proofErr w:type="gramEnd"/>
      <w:r w:rsidR="00631267">
        <w:rPr>
          <w:rFonts w:asciiTheme="minorHAnsi" w:eastAsiaTheme="minorHAnsi" w:hAnsiTheme="minorHAnsi" w:cstheme="minorBidi"/>
          <w:i/>
          <w:iCs/>
          <w:kern w:val="2"/>
          <w:sz w:val="20"/>
          <w:lang w:eastAsia="en-US"/>
          <w14:ligatures w14:val="standardContextual"/>
        </w:rPr>
        <w:t xml:space="preserve"> minima </w:t>
      </w:r>
      <w:r w:rsidR="00631267">
        <w:rPr>
          <w:rFonts w:asciiTheme="minorHAnsi" w:eastAsiaTheme="minorHAnsi" w:hAnsiTheme="minorHAnsi" w:cstheme="minorBidi"/>
          <w:kern w:val="2"/>
          <w:sz w:val="20"/>
          <w:lang w:eastAsia="en-US"/>
          <w14:ligatures w14:val="standardContextual"/>
        </w:rPr>
        <w:t>traiter</w:t>
      </w:r>
      <w:r w:rsidR="00FF16C8" w:rsidRPr="00650020">
        <w:rPr>
          <w:rFonts w:asciiTheme="minorHAnsi" w:eastAsiaTheme="minorHAnsi" w:hAnsiTheme="minorHAnsi" w:cstheme="minorBidi"/>
          <w:kern w:val="2"/>
          <w:sz w:val="20"/>
          <w:lang w:eastAsia="en-US"/>
          <w14:ligatures w14:val="standardContextual"/>
        </w:rPr>
        <w:t xml:space="preserve"> les risques suivants</w:t>
      </w:r>
      <w:r w:rsidR="00A71131">
        <w:rPr>
          <w:rFonts w:asciiTheme="minorHAnsi" w:eastAsiaTheme="minorHAnsi" w:hAnsiTheme="minorHAnsi" w:cstheme="minorBidi"/>
          <w:kern w:val="2"/>
          <w:sz w:val="20"/>
          <w:lang w:eastAsia="en-US"/>
          <w14:ligatures w14:val="standardContextual"/>
        </w:rPr>
        <w:t xml:space="preserve"> : </w:t>
      </w:r>
    </w:p>
    <w:p w14:paraId="6D28625C" w14:textId="5CF3D5E6" w:rsidR="00A71131" w:rsidRPr="005718C8" w:rsidRDefault="6879489A" w:rsidP="00650020">
      <w:pPr>
        <w:pStyle w:val="pf0"/>
        <w:numPr>
          <w:ilvl w:val="0"/>
          <w:numId w:val="65"/>
        </w:numPr>
        <w:spacing w:before="40" w:beforeAutospacing="0" w:after="40" w:afterAutospacing="0"/>
        <w:ind w:left="714" w:hanging="357"/>
        <w:rPr>
          <w:rFonts w:asciiTheme="minorHAnsi" w:eastAsiaTheme="minorEastAsia" w:hAnsiTheme="minorHAnsi" w:cstheme="minorBidi"/>
          <w:kern w:val="2"/>
          <w:sz w:val="20"/>
          <w:szCs w:val="20"/>
          <w:lang w:eastAsia="en-US"/>
          <w14:ligatures w14:val="standardContextual"/>
        </w:rPr>
      </w:pPr>
      <w:proofErr w:type="gramStart"/>
      <w:r w:rsidRPr="15E7A362">
        <w:rPr>
          <w:rFonts w:asciiTheme="minorHAnsi" w:eastAsiaTheme="minorEastAsia" w:hAnsiTheme="minorHAnsi" w:cstheme="minorBidi"/>
          <w:kern w:val="2"/>
          <w:sz w:val="20"/>
          <w:szCs w:val="20"/>
          <w:lang w:eastAsia="en-US"/>
          <w14:ligatures w14:val="standardContextual"/>
        </w:rPr>
        <w:t>r</w:t>
      </w:r>
      <w:r w:rsidR="00AE7E8F" w:rsidRPr="15E7A362">
        <w:rPr>
          <w:rFonts w:asciiTheme="minorHAnsi" w:eastAsiaTheme="minorEastAsia" w:hAnsiTheme="minorHAnsi" w:cstheme="minorBidi"/>
          <w:kern w:val="2"/>
          <w:sz w:val="20"/>
          <w:szCs w:val="20"/>
          <w:lang w:eastAsia="en-US"/>
          <w14:ligatures w14:val="standardContextual"/>
        </w:rPr>
        <w:t>isques</w:t>
      </w:r>
      <w:proofErr w:type="gramEnd"/>
      <w:r w:rsidR="00AE7E8F" w:rsidRPr="15E7A362">
        <w:rPr>
          <w:rFonts w:asciiTheme="minorHAnsi" w:eastAsiaTheme="minorEastAsia" w:hAnsiTheme="minorHAnsi" w:cstheme="minorBidi"/>
          <w:kern w:val="2"/>
          <w:sz w:val="20"/>
          <w:szCs w:val="20"/>
          <w:lang w:eastAsia="en-US"/>
          <w14:ligatures w14:val="standardContextual"/>
        </w:rPr>
        <w:t xml:space="preserve"> de marché </w:t>
      </w:r>
      <w:r w:rsidR="00AE7E8F" w:rsidRPr="15E7A362">
        <w:rPr>
          <w:rFonts w:asciiTheme="minorHAnsi" w:eastAsiaTheme="minorEastAsia" w:hAnsiTheme="minorHAnsi" w:cstheme="minorBidi"/>
          <w:i/>
          <w:kern w:val="2"/>
          <w:sz w:val="20"/>
          <w:szCs w:val="20"/>
          <w:lang w:eastAsia="en-US"/>
          <w14:ligatures w14:val="standardContextual"/>
        </w:rPr>
        <w:t xml:space="preserve">(évolution des prix, appels de marges, volumes ou nombre de clients, </w:t>
      </w:r>
      <w:r w:rsidR="00AE7E8F" w:rsidRPr="00431DD0">
        <w:rPr>
          <w:rFonts w:asciiTheme="minorHAnsi" w:eastAsiaTheme="minorEastAsia" w:hAnsiTheme="minorHAnsi" w:cstheme="minorBidi"/>
          <w:i/>
          <w:kern w:val="2"/>
          <w:sz w:val="20"/>
          <w:szCs w:val="20"/>
          <w:lang w:eastAsia="en-US"/>
          <w14:ligatures w14:val="standardContextual"/>
        </w:rPr>
        <w:t xml:space="preserve">risque climatique, </w:t>
      </w:r>
      <w:r w:rsidR="0055034F" w:rsidRPr="00431DD0">
        <w:rPr>
          <w:rFonts w:asciiTheme="minorHAnsi" w:eastAsiaTheme="minorEastAsia" w:hAnsiTheme="minorHAnsi" w:cstheme="minorBidi"/>
          <w:i/>
          <w:kern w:val="2"/>
          <w:sz w:val="20"/>
          <w:szCs w:val="20"/>
          <w:lang w:eastAsia="en-US"/>
          <w14:ligatures w14:val="standardContextual"/>
        </w:rPr>
        <w:t>risque de cascading</w:t>
      </w:r>
      <w:r w:rsidR="0055034F" w:rsidRPr="15E7A362">
        <w:rPr>
          <w:rFonts w:asciiTheme="minorHAnsi" w:eastAsiaTheme="minorEastAsia" w:hAnsiTheme="minorHAnsi" w:cstheme="minorBidi"/>
          <w:i/>
          <w:kern w:val="2"/>
          <w:sz w:val="20"/>
          <w:szCs w:val="20"/>
          <w:lang w:eastAsia="en-US"/>
          <w14:ligatures w14:val="standardContextual"/>
        </w:rPr>
        <w:t>)</w:t>
      </w:r>
      <w:r w:rsidR="65509552" w:rsidRPr="15E7A362">
        <w:rPr>
          <w:rFonts w:asciiTheme="minorHAnsi" w:eastAsiaTheme="minorEastAsia" w:hAnsiTheme="minorHAnsi" w:cstheme="minorBidi"/>
          <w:i/>
          <w:iCs/>
          <w:kern w:val="2"/>
          <w:sz w:val="20"/>
          <w:szCs w:val="20"/>
          <w:lang w:eastAsia="en-US"/>
          <w14:ligatures w14:val="standardContextual"/>
        </w:rPr>
        <w:t xml:space="preserve"> ;</w:t>
      </w:r>
    </w:p>
    <w:p w14:paraId="07ADA5BA" w14:textId="1161B312" w:rsidR="0055034F" w:rsidRPr="00650020" w:rsidRDefault="65509552" w:rsidP="00650020">
      <w:pPr>
        <w:pStyle w:val="pf0"/>
        <w:numPr>
          <w:ilvl w:val="0"/>
          <w:numId w:val="65"/>
        </w:numPr>
        <w:spacing w:before="40" w:beforeAutospacing="0" w:after="40" w:afterAutospacing="0"/>
        <w:ind w:left="714" w:hanging="357"/>
        <w:rPr>
          <w:rFonts w:asciiTheme="minorHAnsi" w:eastAsiaTheme="minorEastAsia" w:hAnsiTheme="minorHAnsi" w:cstheme="minorBidi"/>
          <w:kern w:val="2"/>
          <w:sz w:val="20"/>
          <w:szCs w:val="20"/>
          <w:lang w:eastAsia="en-US"/>
          <w14:ligatures w14:val="standardContextual"/>
        </w:rPr>
      </w:pPr>
      <w:proofErr w:type="gramStart"/>
      <w:r w:rsidRPr="50BAB5E2">
        <w:rPr>
          <w:rFonts w:asciiTheme="minorHAnsi" w:eastAsiaTheme="minorEastAsia" w:hAnsiTheme="minorHAnsi" w:cstheme="minorBidi"/>
          <w:sz w:val="20"/>
          <w:szCs w:val="20"/>
          <w:lang w:eastAsia="en-US"/>
        </w:rPr>
        <w:t>r</w:t>
      </w:r>
      <w:r w:rsidR="0055034F" w:rsidRPr="15E7A362">
        <w:rPr>
          <w:rFonts w:asciiTheme="minorHAnsi" w:eastAsiaTheme="minorEastAsia" w:hAnsiTheme="minorHAnsi" w:cstheme="minorBidi"/>
          <w:kern w:val="2"/>
          <w:sz w:val="20"/>
          <w:szCs w:val="20"/>
          <w:lang w:eastAsia="en-US"/>
          <w14:ligatures w14:val="standardContextual"/>
        </w:rPr>
        <w:t>isques</w:t>
      </w:r>
      <w:proofErr w:type="gramEnd"/>
      <w:r w:rsidR="0055034F" w:rsidRPr="15E7A362">
        <w:rPr>
          <w:rFonts w:asciiTheme="minorHAnsi" w:eastAsiaTheme="minorEastAsia" w:hAnsiTheme="minorHAnsi" w:cstheme="minorBidi"/>
          <w:kern w:val="2"/>
          <w:sz w:val="20"/>
          <w:szCs w:val="20"/>
          <w:lang w:eastAsia="en-US"/>
          <w14:ligatures w14:val="standardContextual"/>
        </w:rPr>
        <w:t xml:space="preserve"> du débiteur </w:t>
      </w:r>
      <w:r w:rsidR="0055034F" w:rsidRPr="15E7A362">
        <w:rPr>
          <w:rFonts w:asciiTheme="minorHAnsi" w:eastAsiaTheme="minorEastAsia" w:hAnsiTheme="minorHAnsi" w:cstheme="minorBidi"/>
          <w:i/>
          <w:kern w:val="2"/>
          <w:sz w:val="20"/>
          <w:szCs w:val="20"/>
          <w:lang w:eastAsia="en-US"/>
          <w14:ligatures w14:val="standardContextual"/>
        </w:rPr>
        <w:t>(non-paiement ou retard de paiement d’un débiteur)</w:t>
      </w:r>
      <w:r w:rsidR="4A40C680" w:rsidRPr="15E7A362">
        <w:rPr>
          <w:rFonts w:asciiTheme="minorHAnsi" w:eastAsiaTheme="minorEastAsia" w:hAnsiTheme="minorHAnsi" w:cstheme="minorBidi"/>
          <w:i/>
          <w:iCs/>
          <w:kern w:val="2"/>
          <w:sz w:val="20"/>
          <w:szCs w:val="20"/>
          <w:lang w:eastAsia="en-US"/>
          <w14:ligatures w14:val="standardContextual"/>
        </w:rPr>
        <w:t xml:space="preserve"> </w:t>
      </w:r>
      <w:r w:rsidR="4A40C680" w:rsidRPr="50BAB5E2">
        <w:rPr>
          <w:rFonts w:asciiTheme="minorHAnsi" w:eastAsiaTheme="minorEastAsia" w:hAnsiTheme="minorHAnsi" w:cstheme="minorBidi"/>
          <w:i/>
          <w:iCs/>
          <w:kern w:val="2"/>
          <w:sz w:val="20"/>
          <w:szCs w:val="20"/>
          <w:lang w:eastAsia="en-US"/>
          <w14:ligatures w14:val="standardContextual"/>
        </w:rPr>
        <w:t>;</w:t>
      </w:r>
    </w:p>
    <w:p w14:paraId="3B77D2DA" w14:textId="6C1F7D32" w:rsidR="00C11E84" w:rsidRDefault="4A40C680" w:rsidP="00650020">
      <w:pPr>
        <w:pStyle w:val="pf0"/>
        <w:numPr>
          <w:ilvl w:val="0"/>
          <w:numId w:val="65"/>
        </w:numPr>
        <w:spacing w:before="40" w:beforeAutospacing="0" w:after="40" w:afterAutospacing="0"/>
        <w:ind w:left="714" w:hanging="357"/>
        <w:rPr>
          <w:rFonts w:asciiTheme="minorHAnsi" w:eastAsiaTheme="minorHAnsi" w:hAnsiTheme="minorHAnsi" w:cstheme="minorBidi"/>
          <w:kern w:val="2"/>
          <w:sz w:val="20"/>
          <w:lang w:eastAsia="en-US"/>
          <w14:ligatures w14:val="standardContextual"/>
        </w:rPr>
      </w:pPr>
      <w:proofErr w:type="gramStart"/>
      <w:r w:rsidRPr="50BAB5E2">
        <w:rPr>
          <w:rFonts w:asciiTheme="minorHAnsi" w:eastAsiaTheme="minorEastAsia" w:hAnsiTheme="minorHAnsi" w:cstheme="minorBidi"/>
          <w:kern w:val="2"/>
          <w:sz w:val="20"/>
          <w:szCs w:val="20"/>
          <w:lang w:eastAsia="en-US"/>
          <w14:ligatures w14:val="standardContextual"/>
        </w:rPr>
        <w:t>r</w:t>
      </w:r>
      <w:r w:rsidR="00C11E84">
        <w:rPr>
          <w:rFonts w:asciiTheme="minorHAnsi" w:eastAsiaTheme="minorHAnsi" w:hAnsiTheme="minorHAnsi" w:cstheme="minorBidi"/>
          <w:kern w:val="2"/>
          <w:sz w:val="20"/>
          <w:lang w:eastAsia="en-US"/>
          <w14:ligatures w14:val="standardContextual"/>
        </w:rPr>
        <w:t>isques</w:t>
      </w:r>
      <w:proofErr w:type="gramEnd"/>
      <w:r w:rsidR="00C11E84">
        <w:rPr>
          <w:rFonts w:asciiTheme="minorHAnsi" w:eastAsiaTheme="minorHAnsi" w:hAnsiTheme="minorHAnsi" w:cstheme="minorBidi"/>
          <w:kern w:val="2"/>
          <w:sz w:val="20"/>
          <w:lang w:eastAsia="en-US"/>
          <w14:ligatures w14:val="standardContextual"/>
        </w:rPr>
        <w:t xml:space="preserve"> de contrepartie</w:t>
      </w:r>
      <w:r w:rsidR="5B9B906A" w:rsidRPr="50BAB5E2">
        <w:rPr>
          <w:rFonts w:asciiTheme="minorHAnsi" w:eastAsiaTheme="minorEastAsia" w:hAnsiTheme="minorHAnsi" w:cstheme="minorBidi"/>
          <w:kern w:val="2"/>
          <w:sz w:val="20"/>
          <w:szCs w:val="20"/>
          <w:lang w:eastAsia="en-US"/>
          <w14:ligatures w14:val="standardContextual"/>
        </w:rPr>
        <w:t xml:space="preserve"> ;</w:t>
      </w:r>
    </w:p>
    <w:p w14:paraId="7012DFD1" w14:textId="0F12E832" w:rsidR="00C11E84" w:rsidRPr="00650020" w:rsidRDefault="5B9B906A" w:rsidP="00650020">
      <w:pPr>
        <w:pStyle w:val="pf0"/>
        <w:numPr>
          <w:ilvl w:val="0"/>
          <w:numId w:val="65"/>
        </w:numPr>
        <w:spacing w:before="40" w:beforeAutospacing="0" w:after="40" w:afterAutospacing="0"/>
        <w:ind w:left="714" w:hanging="357"/>
        <w:rPr>
          <w:rFonts w:asciiTheme="minorHAnsi" w:eastAsiaTheme="minorHAnsi" w:hAnsiTheme="minorHAnsi" w:cstheme="minorBidi"/>
          <w:kern w:val="2"/>
          <w:sz w:val="20"/>
          <w:lang w:eastAsia="en-US"/>
          <w14:ligatures w14:val="standardContextual"/>
        </w:rPr>
      </w:pPr>
      <w:proofErr w:type="gramStart"/>
      <w:r w:rsidRPr="50BAB5E2">
        <w:rPr>
          <w:rFonts w:asciiTheme="minorHAnsi" w:eastAsiaTheme="minorEastAsia" w:hAnsiTheme="minorHAnsi" w:cstheme="minorBidi"/>
          <w:kern w:val="2"/>
          <w:sz w:val="20"/>
          <w:szCs w:val="20"/>
          <w:lang w:eastAsia="en-US"/>
          <w14:ligatures w14:val="standardContextual"/>
        </w:rPr>
        <w:t>r</w:t>
      </w:r>
      <w:r w:rsidR="00C11E84">
        <w:rPr>
          <w:rFonts w:asciiTheme="minorHAnsi" w:eastAsiaTheme="minorHAnsi" w:hAnsiTheme="minorHAnsi" w:cstheme="minorBidi"/>
          <w:kern w:val="2"/>
          <w:sz w:val="20"/>
          <w:lang w:eastAsia="en-US"/>
          <w14:ligatures w14:val="standardContextual"/>
        </w:rPr>
        <w:t>isques</w:t>
      </w:r>
      <w:proofErr w:type="gramEnd"/>
      <w:r w:rsidR="00C11E84">
        <w:rPr>
          <w:rFonts w:asciiTheme="minorHAnsi" w:eastAsiaTheme="minorHAnsi" w:hAnsiTheme="minorHAnsi" w:cstheme="minorBidi"/>
          <w:kern w:val="2"/>
          <w:sz w:val="20"/>
          <w:lang w:eastAsia="en-US"/>
          <w14:ligatures w14:val="standardContextual"/>
        </w:rPr>
        <w:t xml:space="preserve"> de liquidité </w:t>
      </w:r>
      <w:r w:rsidR="00C11E84">
        <w:rPr>
          <w:rFonts w:asciiTheme="minorHAnsi" w:eastAsiaTheme="minorHAnsi" w:hAnsiTheme="minorHAnsi" w:cstheme="minorBidi"/>
          <w:i/>
          <w:iCs/>
          <w:kern w:val="2"/>
          <w:sz w:val="20"/>
          <w:lang w:eastAsia="en-US"/>
          <w14:ligatures w14:val="standardContextual"/>
        </w:rPr>
        <w:t>(liquidités insuffisantes face aux obligations de paiement)</w:t>
      </w:r>
      <w:r w:rsidR="3CF1FABF" w:rsidRPr="50BAB5E2">
        <w:rPr>
          <w:rFonts w:asciiTheme="minorHAnsi" w:eastAsiaTheme="minorEastAsia" w:hAnsiTheme="minorHAnsi" w:cstheme="minorBidi"/>
          <w:i/>
          <w:iCs/>
          <w:kern w:val="2"/>
          <w:sz w:val="20"/>
          <w:szCs w:val="20"/>
          <w:lang w:eastAsia="en-US"/>
          <w14:ligatures w14:val="standardContextual"/>
        </w:rPr>
        <w:t xml:space="preserve"> ;</w:t>
      </w:r>
    </w:p>
    <w:p w14:paraId="211BF343" w14:textId="6362718C" w:rsidR="005802F8" w:rsidRPr="00650020" w:rsidRDefault="3CF1FABF" w:rsidP="00650020">
      <w:pPr>
        <w:pStyle w:val="pf0"/>
        <w:numPr>
          <w:ilvl w:val="0"/>
          <w:numId w:val="65"/>
        </w:numPr>
        <w:spacing w:before="40" w:beforeAutospacing="0" w:after="40" w:afterAutospacing="0"/>
        <w:ind w:left="714" w:hanging="357"/>
        <w:rPr>
          <w:rFonts w:asciiTheme="minorHAnsi" w:eastAsiaTheme="minorHAnsi" w:hAnsiTheme="minorHAnsi" w:cstheme="minorBidi"/>
          <w:kern w:val="2"/>
          <w:sz w:val="20"/>
          <w:lang w:eastAsia="en-US"/>
          <w14:ligatures w14:val="standardContextual"/>
        </w:rPr>
      </w:pPr>
      <w:proofErr w:type="gramStart"/>
      <w:r w:rsidRPr="50BAB5E2">
        <w:rPr>
          <w:rFonts w:asciiTheme="minorHAnsi" w:eastAsiaTheme="minorEastAsia" w:hAnsiTheme="minorHAnsi" w:cstheme="minorBidi"/>
          <w:kern w:val="2"/>
          <w:sz w:val="20"/>
          <w:szCs w:val="20"/>
          <w:lang w:eastAsia="en-US"/>
          <w14:ligatures w14:val="standardContextual"/>
        </w:rPr>
        <w:t>r</w:t>
      </w:r>
      <w:r w:rsidR="005802F8">
        <w:rPr>
          <w:rFonts w:asciiTheme="minorHAnsi" w:eastAsiaTheme="minorHAnsi" w:hAnsiTheme="minorHAnsi" w:cstheme="minorBidi"/>
          <w:kern w:val="2"/>
          <w:sz w:val="20"/>
          <w:lang w:eastAsia="en-US"/>
          <w14:ligatures w14:val="standardContextual"/>
        </w:rPr>
        <w:t>isques</w:t>
      </w:r>
      <w:proofErr w:type="gramEnd"/>
      <w:r w:rsidR="005802F8">
        <w:rPr>
          <w:rFonts w:asciiTheme="minorHAnsi" w:eastAsiaTheme="minorHAnsi" w:hAnsiTheme="minorHAnsi" w:cstheme="minorBidi"/>
          <w:kern w:val="2"/>
          <w:sz w:val="20"/>
          <w:lang w:eastAsia="en-US"/>
          <w14:ligatures w14:val="standardContextual"/>
        </w:rPr>
        <w:t xml:space="preserve"> liés à d’autres activités annexes à la fourniture d’électricité et de gaz</w:t>
      </w:r>
      <w:r w:rsidR="644022FF" w:rsidRPr="50BAB5E2">
        <w:rPr>
          <w:rFonts w:asciiTheme="minorHAnsi" w:eastAsiaTheme="minorEastAsia" w:hAnsiTheme="minorHAnsi" w:cstheme="minorBidi"/>
          <w:kern w:val="2"/>
          <w:sz w:val="20"/>
          <w:szCs w:val="20"/>
          <w:lang w:eastAsia="en-US"/>
          <w14:ligatures w14:val="standardContextual"/>
        </w:rPr>
        <w:t>.</w:t>
      </w:r>
    </w:p>
    <w:p w14:paraId="544F2457" w14:textId="27F32829" w:rsidR="0026586E" w:rsidRPr="00650020" w:rsidRDefault="00C269E8" w:rsidP="0026586E">
      <w:pPr>
        <w:pStyle w:val="Corpsdetexte"/>
      </w:pPr>
      <w:r w:rsidRPr="00650020">
        <w:t>Certains des risques listés ci-dessus requièrent une analyse spécifique selon le</w:t>
      </w:r>
      <w:r w:rsidR="00D175B5" w:rsidRPr="00650020">
        <w:t>s instruments utilisés dans la stratégie de couverture du fournisseur</w:t>
      </w:r>
      <w:r w:rsidR="00254579">
        <w:t> :</w:t>
      </w:r>
      <w:r w:rsidR="00B55E7A" w:rsidRPr="00650020">
        <w:t xml:space="preserve"> la CRE </w:t>
      </w:r>
      <w:r w:rsidR="004F2E98">
        <w:t>estime</w:t>
      </w:r>
      <w:r w:rsidR="00BE3769" w:rsidRPr="00650020">
        <w:t xml:space="preserve"> </w:t>
      </w:r>
      <w:r w:rsidR="00254579">
        <w:t>à ce titre</w:t>
      </w:r>
      <w:r w:rsidR="00B55E7A">
        <w:t xml:space="preserve"> </w:t>
      </w:r>
      <w:r w:rsidR="00B55E7A" w:rsidRPr="00650020">
        <w:t xml:space="preserve">que </w:t>
      </w:r>
      <w:r w:rsidR="001C2F44">
        <w:t xml:space="preserve">la cartographie des risques </w:t>
      </w:r>
      <w:r w:rsidR="004F2E98">
        <w:t xml:space="preserve">devrait </w:t>
      </w:r>
      <w:r w:rsidR="001C2F44">
        <w:t>détaille</w:t>
      </w:r>
      <w:r w:rsidR="004F2E98">
        <w:t>r</w:t>
      </w:r>
      <w:r w:rsidR="001C2F44">
        <w:t xml:space="preserve"> la politique de gestion des risques profil et industriel </w:t>
      </w:r>
      <w:r w:rsidR="00937770">
        <w:t xml:space="preserve">découlant de la </w:t>
      </w:r>
      <w:r w:rsidR="00B46722" w:rsidRPr="00650020">
        <w:t>couverture par détention d’actifs physiques</w:t>
      </w:r>
      <w:r w:rsidR="00A805C7" w:rsidRPr="00650020">
        <w:t>, ou par contrat d’achat direct d’électricité ou de gaz</w:t>
      </w:r>
      <w:r w:rsidR="004F2E98">
        <w:t xml:space="preserve"> </w:t>
      </w:r>
      <w:r w:rsidR="00937770">
        <w:t>pour le fournisseur qui y aurait recours</w:t>
      </w:r>
      <w:r w:rsidR="00B46722" w:rsidRPr="00650020">
        <w:t xml:space="preserve">. </w:t>
      </w:r>
    </w:p>
    <w:p w14:paraId="578F3FC3" w14:textId="7B55A190" w:rsidR="00F710B6" w:rsidRPr="00F57D34" w:rsidRDefault="008E4EEE" w:rsidP="00F57D34">
      <w:pPr>
        <w:pStyle w:val="Corpsdetexte"/>
      </w:pPr>
      <w:r w:rsidRPr="00650020">
        <w:t xml:space="preserve">S’agissant du risque de contrepartie, la </w:t>
      </w:r>
      <w:r w:rsidR="007F6857" w:rsidRPr="00650020">
        <w:t xml:space="preserve">CRE </w:t>
      </w:r>
      <w:r w:rsidR="001F4146">
        <w:t>d</w:t>
      </w:r>
      <w:r w:rsidR="00807C8D" w:rsidRPr="00650020">
        <w:t>e</w:t>
      </w:r>
      <w:r w:rsidR="001F4146">
        <w:t>mande</w:t>
      </w:r>
      <w:r w:rsidR="00807C8D" w:rsidRPr="00650020">
        <w:t xml:space="preserve"> en particulier que </w:t>
      </w:r>
      <w:r w:rsidR="00442125" w:rsidRPr="00650020">
        <w:t xml:space="preserve">soit décrite </w:t>
      </w:r>
      <w:r w:rsidR="00312392">
        <w:t xml:space="preserve">dans le document descriptif </w:t>
      </w:r>
      <w:r w:rsidR="0068646B">
        <w:t xml:space="preserve">évoqué ci-dessus </w:t>
      </w:r>
      <w:r w:rsidR="00807C8D" w:rsidRPr="00650020">
        <w:t>l</w:t>
      </w:r>
      <w:r w:rsidR="00363931" w:rsidRPr="00650020">
        <w:t xml:space="preserve">a politique de caractérisation et de mitigation du risque de contrepartie </w:t>
      </w:r>
      <w:r w:rsidR="00316174" w:rsidRPr="00650020">
        <w:t>généré par les acteurs auprès desquels le fournisseur s’approvisionne</w:t>
      </w:r>
      <w:r w:rsidR="00E63738">
        <w:t xml:space="preserve">. Le fournisseur </w:t>
      </w:r>
      <w:r w:rsidR="007F0FEE">
        <w:t xml:space="preserve">y </w:t>
      </w:r>
      <w:r w:rsidR="00E63738">
        <w:t xml:space="preserve">précise </w:t>
      </w:r>
      <w:r w:rsidR="007D33DE">
        <w:t xml:space="preserve">notamment </w:t>
      </w:r>
      <w:r w:rsidR="00E63738">
        <w:t xml:space="preserve">les sécurisations financières </w:t>
      </w:r>
      <w:r w:rsidR="00B4308A">
        <w:t>typiquement exigées, ainsi que le</w:t>
      </w:r>
      <w:r w:rsidR="00FF4D80">
        <w:t>s vérifications diligent</w:t>
      </w:r>
      <w:r w:rsidR="00F04393">
        <w:t>é</w:t>
      </w:r>
      <w:r w:rsidR="00FF4D80">
        <w:t xml:space="preserve">es </w:t>
      </w:r>
      <w:r w:rsidR="002E66C1">
        <w:t>pré-contractualisation.</w:t>
      </w:r>
    </w:p>
    <w:p w14:paraId="45B8CEDD" w14:textId="77777777" w:rsidR="00FC34DB" w:rsidRDefault="00E56E12" w:rsidP="00372EFD">
      <w:pPr>
        <w:pStyle w:val="Titre2"/>
      </w:pPr>
      <w:bookmarkStart w:id="50" w:name="_Toc232094763"/>
      <w:r>
        <w:t>Mesures complémentaires</w:t>
      </w:r>
      <w:bookmarkEnd w:id="50"/>
      <w:r>
        <w:t xml:space="preserve"> </w:t>
      </w:r>
    </w:p>
    <w:p w14:paraId="69F5D49A" w14:textId="391C565E" w:rsidR="00E56E12" w:rsidRPr="00650020" w:rsidRDefault="000C135F" w:rsidP="00650020">
      <w:pPr>
        <w:pStyle w:val="Corpsdetextedeladcision"/>
        <w:rPr>
          <w:u w:val="single"/>
        </w:rPr>
      </w:pPr>
      <w:r w:rsidRPr="00650020">
        <w:rPr>
          <w:u w:val="single"/>
        </w:rPr>
        <w:t xml:space="preserve">Bonnes pratiques </w:t>
      </w:r>
      <w:r w:rsidR="00E56E12" w:rsidRPr="00650020">
        <w:rPr>
          <w:u w:val="single"/>
        </w:rPr>
        <w:t>sur les procédures internes</w:t>
      </w:r>
    </w:p>
    <w:p w14:paraId="50BEAAAD" w14:textId="73AC3737" w:rsidR="00A54492" w:rsidRDefault="00291914" w:rsidP="00A54492">
      <w:pPr>
        <w:pStyle w:val="Corpsdetexte"/>
      </w:pPr>
      <w:r>
        <w:t xml:space="preserve">En complément de la gestion opérationnelle des risques, la CRE </w:t>
      </w:r>
      <w:r w:rsidR="009525BC">
        <w:t>considère</w:t>
      </w:r>
      <w:r w:rsidR="006C5CE8">
        <w:t xml:space="preserve"> </w:t>
      </w:r>
      <w:r>
        <w:t xml:space="preserve">que les procédures internes du fournisseur doivent </w:t>
      </w:r>
      <w:r w:rsidR="00A6469C">
        <w:t xml:space="preserve">répondre à un souci d’efficacité dans la prévention et le traitement des risques. Elle </w:t>
      </w:r>
      <w:r w:rsidR="009525BC">
        <w:t xml:space="preserve">propose </w:t>
      </w:r>
      <w:r w:rsidR="00120438">
        <w:t>donc que</w:t>
      </w:r>
      <w:r w:rsidR="008E2E0F">
        <w:t xml:space="preserve"> les fournisseurs sujets à la régulation prudentielle </w:t>
      </w:r>
      <w:r w:rsidR="00120438">
        <w:t>formalisent dans leur documentation interne une procédure de gestion des risques</w:t>
      </w:r>
      <w:r w:rsidR="00B65784">
        <w:t>, en précisant l’implication des organes dirigeants dans cette procédure</w:t>
      </w:r>
      <w:r w:rsidR="00DF22FD">
        <w:t xml:space="preserve">, en particulier pour le contrôle </w:t>
      </w:r>
      <w:r w:rsidR="00257F8B">
        <w:t>interne</w:t>
      </w:r>
      <w:r w:rsidR="00DF22FD">
        <w:t xml:space="preserve"> et les modalités d’approbation des limites de risques. </w:t>
      </w:r>
    </w:p>
    <w:p w14:paraId="350EA5B5" w14:textId="4349A980" w:rsidR="00A54492" w:rsidRPr="00650020" w:rsidRDefault="00A54492" w:rsidP="00A54492">
      <w:pPr>
        <w:pStyle w:val="Corpsdetexte"/>
        <w:rPr>
          <w:u w:val="single"/>
        </w:rPr>
      </w:pPr>
      <w:r>
        <w:rPr>
          <w:u w:val="single"/>
        </w:rPr>
        <w:t>Bonnes pratiques sur l’organisation interne</w:t>
      </w:r>
    </w:p>
    <w:p w14:paraId="64B065ED" w14:textId="45884AE2" w:rsidR="00A54492" w:rsidRDefault="00A54492" w:rsidP="00A54492">
      <w:pPr>
        <w:pStyle w:val="Corpsdetexte"/>
      </w:pPr>
      <w:r>
        <w:t xml:space="preserve">La CRE </w:t>
      </w:r>
      <w:r w:rsidR="007F0FEE">
        <w:t>promeut</w:t>
      </w:r>
      <w:r>
        <w:t xml:space="preserve"> en outre la mise en place de trois mesures concrètes touchant à l’organisation interne des fournisseurs sujets au contrôle</w:t>
      </w:r>
      <w:r w:rsidR="007F0FEE">
        <w:t>,</w:t>
      </w:r>
      <w:r>
        <w:t xml:space="preserve"> considérées par la CRE comme </w:t>
      </w:r>
      <w:r w:rsidR="00B67493">
        <w:t xml:space="preserve">des </w:t>
      </w:r>
      <w:r>
        <w:t>amélioration</w:t>
      </w:r>
      <w:r w:rsidR="00B67493">
        <w:t>s</w:t>
      </w:r>
      <w:r>
        <w:t xml:space="preserve"> </w:t>
      </w:r>
      <w:r w:rsidR="00B67493">
        <w:t>claire</w:t>
      </w:r>
      <w:r w:rsidR="001152C2">
        <w:t>s</w:t>
      </w:r>
      <w:r>
        <w:t xml:space="preserve"> des pratiques de gestion du </w:t>
      </w:r>
      <w:proofErr w:type="gramStart"/>
      <w:r>
        <w:t>risque:</w:t>
      </w:r>
      <w:proofErr w:type="gramEnd"/>
      <w:r>
        <w:t xml:space="preserve"> </w:t>
      </w:r>
    </w:p>
    <w:p w14:paraId="5E433466" w14:textId="77777777" w:rsidR="00A54492" w:rsidRDefault="00A54492" w:rsidP="00A54492">
      <w:pPr>
        <w:pStyle w:val="Corpsdetexte"/>
        <w:numPr>
          <w:ilvl w:val="0"/>
          <w:numId w:val="66"/>
        </w:numPr>
      </w:pPr>
      <w:r w:rsidRPr="00A15654">
        <w:t xml:space="preserve">Les fournisseurs devraient faire en sorte que les postes de direction soient occupés par des personnes justifiant d’une expérience dans le secteur de l’énergie. </w:t>
      </w:r>
    </w:p>
    <w:p w14:paraId="533E1E32" w14:textId="18AD8E7B" w:rsidR="00A54492" w:rsidRDefault="00A54492" w:rsidP="00A54492">
      <w:pPr>
        <w:pStyle w:val="Corpsdetexte"/>
        <w:numPr>
          <w:ilvl w:val="0"/>
          <w:numId w:val="66"/>
        </w:numPr>
      </w:pPr>
      <w:r w:rsidRPr="00A15654">
        <w:t>La société devrait désigner un salarié de direction démontrant son expérience dans la gestion de risques lié</w:t>
      </w:r>
      <w:r w:rsidR="00C53FFF">
        <w:t>s</w:t>
      </w:r>
      <w:r w:rsidRPr="00A15654">
        <w:t xml:space="preserve"> aux marchés de l’énergie. Cette personne serait identifiée au sein de l’entreprise comme responsable de la gestion des risques dans l’organigramme.</w:t>
      </w:r>
    </w:p>
    <w:p w14:paraId="111948A5" w14:textId="4F9E4E7D" w:rsidR="00A54492" w:rsidRDefault="00A54492" w:rsidP="00A54492">
      <w:pPr>
        <w:pStyle w:val="Corpsdetexte"/>
        <w:numPr>
          <w:ilvl w:val="0"/>
          <w:numId w:val="66"/>
        </w:numPr>
      </w:pPr>
      <w:r w:rsidRPr="009B6BB8">
        <w:t>Le responsable de la gestion des risques ne devrait pas occuper le poste de directeur général ou président de la société et ne devrait pas non plus être lié à une fonction d’achat ou vente d’énergie dans l’entreprise, afin d’évaluer les risques de la société en toute indépendance</w:t>
      </w:r>
    </w:p>
    <w:p w14:paraId="72E5332D" w14:textId="1204ABAD" w:rsidR="0040074E" w:rsidRDefault="0040074E" w:rsidP="0040074E">
      <w:pPr>
        <w:pStyle w:val="Corpsdetexte"/>
      </w:pPr>
    </w:p>
    <w:p w14:paraId="5447C9FB" w14:textId="1579D09E" w:rsidR="000D4FB7" w:rsidRPr="000D4FB7" w:rsidRDefault="009525BC" w:rsidP="000D4FB7">
      <w:pPr>
        <w:pStyle w:val="Corpsdetexte"/>
      </w:pPr>
      <w:r>
        <w:lastRenderedPageBreak/>
        <w:t xml:space="preserve">La </w:t>
      </w:r>
      <w:r w:rsidR="002B1988">
        <w:t>CRE</w:t>
      </w:r>
      <w:r w:rsidR="00720E33">
        <w:t xml:space="preserve"> considère que la formalisation d</w:t>
      </w:r>
      <w:r w:rsidR="001B57C3">
        <w:t>e la procédure de gestion des risque</w:t>
      </w:r>
      <w:r w:rsidR="00FB378D">
        <w:t>s</w:t>
      </w:r>
      <w:r w:rsidR="001B57C3">
        <w:t xml:space="preserve"> est une pratique à promouvoir, et</w:t>
      </w:r>
      <w:r w:rsidR="002B1988">
        <w:t xml:space="preserve"> </w:t>
      </w:r>
      <w:r w:rsidR="000D4FB7" w:rsidRPr="000D4FB7">
        <w:t xml:space="preserve">souhaite </w:t>
      </w:r>
      <w:r w:rsidR="001B57C3">
        <w:t xml:space="preserve">donc </w:t>
      </w:r>
      <w:r w:rsidR="000D4FB7" w:rsidRPr="000D4FB7">
        <w:t>que la transmission de</w:t>
      </w:r>
      <w:r w:rsidR="00E60ADA">
        <w:t>s</w:t>
      </w:r>
      <w:r w:rsidR="000D4FB7" w:rsidRPr="000D4FB7">
        <w:t xml:space="preserve"> documents </w:t>
      </w:r>
      <w:r w:rsidR="00E60ADA">
        <w:t xml:space="preserve">associés </w:t>
      </w:r>
      <w:r w:rsidR="000D4FB7" w:rsidRPr="000D4FB7">
        <w:t xml:space="preserve">fasse partie des obligations </w:t>
      </w:r>
      <w:r w:rsidR="009F37E5">
        <w:t xml:space="preserve">prudentielles </w:t>
      </w:r>
      <w:r w:rsidR="000D4FB7" w:rsidRPr="000D4FB7">
        <w:t>pour les fournisseurs</w:t>
      </w:r>
      <w:r w:rsidR="009F37E5">
        <w:t xml:space="preserve"> </w:t>
      </w:r>
      <w:r w:rsidR="009F37E5" w:rsidRPr="000D4FB7">
        <w:t>une fois la régulation inscrite dans la loi</w:t>
      </w:r>
      <w:r w:rsidR="000D4FB7" w:rsidRPr="000D4FB7">
        <w:t xml:space="preserve">. </w:t>
      </w:r>
      <w:r w:rsidR="00E60ADA">
        <w:t xml:space="preserve">Dans le cadre du régime transitoire, </w:t>
      </w:r>
      <w:r w:rsidR="00310BD9">
        <w:t xml:space="preserve">la CRE invite les fournisseurs à lui transmettre </w:t>
      </w:r>
      <w:r w:rsidR="0024553D">
        <w:t xml:space="preserve">ce document, </w:t>
      </w:r>
      <w:r w:rsidR="004926A0">
        <w:t xml:space="preserve">qui alimente </w:t>
      </w:r>
      <w:r w:rsidR="00FB378D">
        <w:t>sa compréhension de l’environnement de gestion de risque du fournisseur concerné.</w:t>
      </w:r>
    </w:p>
    <w:p w14:paraId="09FEB610" w14:textId="5C7A0946" w:rsidR="0098505A" w:rsidRDefault="0098505A" w:rsidP="00650020">
      <w:pPr>
        <w:pStyle w:val="Corpsdetexte"/>
      </w:pPr>
    </w:p>
    <w:p w14:paraId="51722F89" w14:textId="77777777" w:rsidR="0055390E" w:rsidRDefault="0055390E">
      <w:pPr>
        <w:spacing w:after="0"/>
        <w:jc w:val="left"/>
        <w:rPr>
          <w:rFonts w:asciiTheme="majorHAnsi" w:eastAsiaTheme="majorEastAsia" w:hAnsiTheme="majorHAnsi" w:cstheme="majorBidi"/>
          <w:b/>
          <w:color w:val="285F83" w:themeColor="text2"/>
          <w:sz w:val="28"/>
          <w:szCs w:val="32"/>
        </w:rPr>
      </w:pPr>
      <w:bookmarkStart w:id="51" w:name="_Toc158298566"/>
      <w:r>
        <w:br w:type="page"/>
      </w:r>
    </w:p>
    <w:bookmarkEnd w:id="51"/>
    <w:p w14:paraId="24968745" w14:textId="56A10157" w:rsidR="00E32E59" w:rsidDel="00710680" w:rsidRDefault="00E32E59" w:rsidP="005D4E19">
      <w:pPr>
        <w:pStyle w:val="Titre"/>
      </w:pPr>
    </w:p>
    <w:p w14:paraId="67A186D2" w14:textId="1F0D7560" w:rsidR="00753155" w:rsidRDefault="00753155" w:rsidP="005D4E19">
      <w:pPr>
        <w:pStyle w:val="Titre"/>
      </w:pPr>
      <w:r>
        <w:t>Annexe</w:t>
      </w:r>
      <w:r w:rsidR="000B54EF">
        <w:t xml:space="preserve"> </w:t>
      </w:r>
      <w:r w:rsidR="000B54EF" w:rsidDel="00710680">
        <w:t>1</w:t>
      </w:r>
      <w:r w:rsidR="00BD5BDD">
        <w:t> : Récapitulatif des documents à faire parvenir à la CRE dans le cadre des guichets</w:t>
      </w:r>
      <w:r w:rsidR="00670369">
        <w:t xml:space="preserve"> ultérieurs</w:t>
      </w:r>
    </w:p>
    <w:p w14:paraId="3ABE01C7" w14:textId="27B1BEA9" w:rsidR="00753155" w:rsidRDefault="66CA5DB6" w:rsidP="4B4F480D">
      <w:pPr>
        <w:pStyle w:val="Corpsdetexte"/>
        <w:spacing w:line="259" w:lineRule="auto"/>
      </w:pPr>
      <w:r>
        <w:t xml:space="preserve">Dès 2026, </w:t>
      </w:r>
      <w:r w:rsidR="005877FE" w:rsidRPr="00F155CA">
        <w:t>les fournisseurs devront, lors de chaque guichet prude</w:t>
      </w:r>
      <w:r w:rsidR="005877FE">
        <w:t xml:space="preserve">ntiel, faire parvenir à la CRE </w:t>
      </w:r>
      <w:r w:rsidR="5468BBA8">
        <w:t>au 1</w:t>
      </w:r>
      <w:r w:rsidR="5468BBA8" w:rsidRPr="00842452">
        <w:rPr>
          <w:vertAlign w:val="superscript"/>
        </w:rPr>
        <w:t>er</w:t>
      </w:r>
      <w:r w:rsidR="5468BBA8">
        <w:t xml:space="preserve"> mai de chaque année </w:t>
      </w:r>
      <w:r w:rsidR="14DCC007">
        <w:t>en gaz naturel et au 30 septembre de chaque année en électricité</w:t>
      </w:r>
      <w:r w:rsidR="005877FE">
        <w:t xml:space="preserve"> les documents suivants : </w:t>
      </w:r>
    </w:p>
    <w:p w14:paraId="3D042FF3" w14:textId="537321FC" w:rsidR="001C2264" w:rsidRPr="00842452" w:rsidRDefault="00DF1781" w:rsidP="001C2264">
      <w:pPr>
        <w:pStyle w:val="Corpsdetexte"/>
        <w:numPr>
          <w:ilvl w:val="0"/>
          <w:numId w:val="114"/>
        </w:numPr>
        <w:spacing w:line="259" w:lineRule="auto"/>
      </w:pPr>
      <w:r>
        <w:rPr>
          <w:b/>
          <w:bCs/>
        </w:rPr>
        <w:t xml:space="preserve">Le formulaire de collecte des données </w:t>
      </w:r>
      <w:r w:rsidR="002B647A">
        <w:rPr>
          <w:b/>
          <w:bCs/>
        </w:rPr>
        <w:t>de couverture</w:t>
      </w:r>
      <w:r w:rsidR="00F518DC">
        <w:rPr>
          <w:b/>
          <w:bCs/>
        </w:rPr>
        <w:t xml:space="preserve"> de la CRE</w:t>
      </w:r>
      <w:r w:rsidR="002B647A">
        <w:rPr>
          <w:b/>
          <w:bCs/>
        </w:rPr>
        <w:t xml:space="preserve"> </w:t>
      </w:r>
      <w:r w:rsidR="009D5BCF" w:rsidRPr="00842452">
        <w:t>(annexe 2a</w:t>
      </w:r>
      <w:r w:rsidR="00F518DC" w:rsidRPr="00842452">
        <w:t xml:space="preserve"> en électricité, annexe 2b en gaz)</w:t>
      </w:r>
      <w:r w:rsidR="007A6725">
        <w:t xml:space="preserve"> : </w:t>
      </w:r>
      <w:r w:rsidR="00652C95">
        <w:t>l</w:t>
      </w:r>
      <w:r w:rsidR="00917777">
        <w:t>e fournisseur</w:t>
      </w:r>
      <w:r w:rsidR="00912A93">
        <w:t xml:space="preserve"> veillera à remplir l</w:t>
      </w:r>
      <w:r w:rsidR="00D9569F">
        <w:t xml:space="preserve">a version la plus récente des </w:t>
      </w:r>
      <w:r w:rsidR="005A532B">
        <w:t>formulaires de collecte.</w:t>
      </w:r>
    </w:p>
    <w:p w14:paraId="269AB35E" w14:textId="6B36253B" w:rsidR="00E72D71" w:rsidRDefault="00B3442A" w:rsidP="00842452">
      <w:pPr>
        <w:pStyle w:val="Corpsdetexte"/>
        <w:numPr>
          <w:ilvl w:val="0"/>
          <w:numId w:val="114"/>
        </w:numPr>
        <w:spacing w:line="259" w:lineRule="auto"/>
      </w:pPr>
      <w:r>
        <w:rPr>
          <w:b/>
          <w:bCs/>
          <w:i/>
          <w:iCs/>
        </w:rPr>
        <w:t xml:space="preserve">Dans le cas où le fournisseur </w:t>
      </w:r>
      <w:r w:rsidR="002D369B">
        <w:rPr>
          <w:b/>
          <w:bCs/>
          <w:i/>
          <w:iCs/>
        </w:rPr>
        <w:t xml:space="preserve">ne valide </w:t>
      </w:r>
      <w:r w:rsidR="007344F9">
        <w:rPr>
          <w:b/>
          <w:bCs/>
          <w:i/>
          <w:iCs/>
        </w:rPr>
        <w:t>pas le critère en couverture</w:t>
      </w:r>
      <w:r w:rsidR="00367482">
        <w:rPr>
          <w:b/>
          <w:bCs/>
          <w:i/>
          <w:iCs/>
        </w:rPr>
        <w:t> </w:t>
      </w:r>
      <w:r w:rsidR="00367482">
        <w:rPr>
          <w:b/>
          <w:bCs/>
        </w:rPr>
        <w:t xml:space="preserve">: </w:t>
      </w:r>
      <w:r w:rsidR="00FD622C">
        <w:rPr>
          <w:b/>
          <w:bCs/>
        </w:rPr>
        <w:t xml:space="preserve">le formulaire de collecte des données financières de la CRE </w:t>
      </w:r>
      <w:r w:rsidR="00FD622C" w:rsidRPr="00842452">
        <w:t>(annexe 3a en électricité, annexe 3b en gaz)</w:t>
      </w:r>
      <w:r w:rsidR="005A532B">
        <w:t> : Le fournisseur veillera à remplir la version la plus récente des formulaires de collecte.</w:t>
      </w:r>
    </w:p>
    <w:p w14:paraId="5461ECE2" w14:textId="68EC1363" w:rsidR="005877FE" w:rsidRPr="00431DD0" w:rsidRDefault="00B13388" w:rsidP="009B708C">
      <w:pPr>
        <w:pStyle w:val="Corpsdetexte"/>
        <w:numPr>
          <w:ilvl w:val="0"/>
          <w:numId w:val="107"/>
        </w:numPr>
        <w:ind w:hanging="357"/>
      </w:pPr>
      <w:r>
        <w:rPr>
          <w:b/>
          <w:bCs/>
        </w:rPr>
        <w:t>Les i</w:t>
      </w:r>
      <w:r w:rsidR="000B18CD">
        <w:rPr>
          <w:b/>
          <w:bCs/>
        </w:rPr>
        <w:t>nformations comptables sur la dernière année réalisée</w:t>
      </w:r>
      <w:r w:rsidR="00AB56A1">
        <w:rPr>
          <w:b/>
          <w:bCs/>
        </w:rPr>
        <w:t> :</w:t>
      </w:r>
    </w:p>
    <w:p w14:paraId="0EF6E5ED" w14:textId="3DC3E494" w:rsidR="00C27652" w:rsidRDefault="00C27652" w:rsidP="009B708C">
      <w:pPr>
        <w:pStyle w:val="Corpsdetexte"/>
        <w:numPr>
          <w:ilvl w:val="1"/>
          <w:numId w:val="107"/>
        </w:numPr>
        <w:ind w:hanging="357"/>
      </w:pPr>
      <w:r>
        <w:t>Compte de résultat</w:t>
      </w:r>
      <w:r w:rsidR="00AB56A1">
        <w:t> ;</w:t>
      </w:r>
    </w:p>
    <w:p w14:paraId="4C7E33A5" w14:textId="628B4C2E" w:rsidR="00C27652" w:rsidRDefault="00C27652" w:rsidP="009B708C">
      <w:pPr>
        <w:pStyle w:val="Corpsdetexte"/>
        <w:numPr>
          <w:ilvl w:val="1"/>
          <w:numId w:val="107"/>
        </w:numPr>
        <w:ind w:hanging="357"/>
      </w:pPr>
      <w:r>
        <w:t>Bilan</w:t>
      </w:r>
      <w:r w:rsidR="00AB56A1">
        <w:t> ;</w:t>
      </w:r>
    </w:p>
    <w:p w14:paraId="3E9CE925" w14:textId="4B91F2A9" w:rsidR="00C27652" w:rsidRDefault="00C27652" w:rsidP="009B708C">
      <w:pPr>
        <w:pStyle w:val="Corpsdetexte"/>
        <w:numPr>
          <w:ilvl w:val="1"/>
          <w:numId w:val="107"/>
        </w:numPr>
        <w:ind w:hanging="357"/>
      </w:pPr>
      <w:r>
        <w:t>Tableau des flux de trésorerie</w:t>
      </w:r>
      <w:r w:rsidR="00AB56A1">
        <w:t> ;</w:t>
      </w:r>
    </w:p>
    <w:p w14:paraId="778C3E4E" w14:textId="3917112A" w:rsidR="00C27652" w:rsidRDefault="00C27652" w:rsidP="009B708C">
      <w:pPr>
        <w:pStyle w:val="Corpsdetexte"/>
        <w:numPr>
          <w:ilvl w:val="1"/>
          <w:numId w:val="107"/>
        </w:numPr>
        <w:ind w:hanging="357"/>
      </w:pPr>
      <w:r>
        <w:t>Certification des comptes par les Commissaires aux comptes</w:t>
      </w:r>
      <w:r w:rsidR="00AB56A1">
        <w:t>.</w:t>
      </w:r>
    </w:p>
    <w:p w14:paraId="4D6C5028" w14:textId="77777777" w:rsidR="004839EB" w:rsidRDefault="004839EB" w:rsidP="006526A3">
      <w:pPr>
        <w:pStyle w:val="Corpsdetexte"/>
      </w:pPr>
    </w:p>
    <w:p w14:paraId="48A71D22" w14:textId="237BCD44" w:rsidR="004839EB" w:rsidRPr="00C340FC" w:rsidRDefault="004839EB" w:rsidP="006526A3">
      <w:pPr>
        <w:pStyle w:val="Corpsdetexte"/>
      </w:pPr>
      <w:r>
        <w:t>S</w:t>
      </w:r>
      <w:r w:rsidRPr="004839EB">
        <w:t xml:space="preserve">’agissant des données financières passées et prévisionnelles à transmettre en cas de non-conformité avec le critère en couverture, la CRE précise qu’en l’absence d’information comptable sur un pas de temps donné, elle appliquera par défaut la donnée la plus conservatrice parmi celles disponibles. </w:t>
      </w:r>
    </w:p>
    <w:p w14:paraId="5814E79C" w14:textId="77777777" w:rsidR="004839EB" w:rsidRDefault="004839EB" w:rsidP="00842452">
      <w:pPr>
        <w:pStyle w:val="Corpsdetexte"/>
      </w:pPr>
    </w:p>
    <w:p w14:paraId="2094C051" w14:textId="43B0AD6F" w:rsidR="003E5D2A" w:rsidRDefault="00063F17" w:rsidP="00842452">
      <w:pPr>
        <w:pStyle w:val="Corpsdetexte"/>
      </w:pPr>
      <w:r>
        <w:t xml:space="preserve">Par ailleurs, la </w:t>
      </w:r>
      <w:r w:rsidR="00BE7313">
        <w:t xml:space="preserve">CRE </w:t>
      </w:r>
      <w:r w:rsidRPr="00063F17">
        <w:t>invite les fournisseurs à lui transmettre à titre complémentaire en régime transitoire</w:t>
      </w:r>
      <w:r>
        <w:t xml:space="preserve"> les documents suivants.</w:t>
      </w:r>
    </w:p>
    <w:p w14:paraId="08B232F6" w14:textId="6BFA4773" w:rsidR="00C27652" w:rsidRPr="00431DD0" w:rsidRDefault="005730A8" w:rsidP="009B708C">
      <w:pPr>
        <w:pStyle w:val="Corpsdetexte"/>
        <w:numPr>
          <w:ilvl w:val="0"/>
          <w:numId w:val="107"/>
        </w:numPr>
        <w:ind w:left="714" w:hanging="357"/>
      </w:pPr>
      <w:r>
        <w:rPr>
          <w:b/>
          <w:bCs/>
        </w:rPr>
        <w:t>Un d</w:t>
      </w:r>
      <w:r w:rsidR="00E74EA4">
        <w:rPr>
          <w:b/>
          <w:bCs/>
        </w:rPr>
        <w:t>ocument descriptif portant q</w:t>
      </w:r>
      <w:r w:rsidR="00491C30">
        <w:rPr>
          <w:b/>
          <w:bCs/>
        </w:rPr>
        <w:t>ualification et identification des risques supportés par la société</w:t>
      </w:r>
      <w:r w:rsidR="003E4ED2">
        <w:rPr>
          <w:b/>
          <w:bCs/>
        </w:rPr>
        <w:t>.</w:t>
      </w:r>
      <w:r w:rsidR="004778AD">
        <w:t xml:space="preserve"> </w:t>
      </w:r>
      <w:r w:rsidR="00E74EA4">
        <w:t xml:space="preserve">Une cartographie des </w:t>
      </w:r>
      <w:r w:rsidR="00523318">
        <w:t xml:space="preserve">risques devra être menée, avec une analyse de la portée de chaque risque et une quantification des </w:t>
      </w:r>
      <w:r w:rsidR="00243E0D">
        <w:t xml:space="preserve">limites d’exposition. Les risques suivants devraient </w:t>
      </w:r>
      <w:proofErr w:type="gramStart"/>
      <w:r w:rsidR="00243E0D">
        <w:rPr>
          <w:i/>
          <w:iCs/>
        </w:rPr>
        <w:t>a</w:t>
      </w:r>
      <w:proofErr w:type="gramEnd"/>
      <w:r w:rsidR="00243E0D">
        <w:rPr>
          <w:i/>
          <w:iCs/>
        </w:rPr>
        <w:t xml:space="preserve"> minima</w:t>
      </w:r>
      <w:r w:rsidR="00243E0D">
        <w:t xml:space="preserve"> être traités par l’acteur dans ce document :</w:t>
      </w:r>
      <w:r w:rsidR="003E4ED2">
        <w:t xml:space="preserve"> </w:t>
      </w:r>
    </w:p>
    <w:p w14:paraId="4FADB68A" w14:textId="77777777" w:rsidR="00243E0D" w:rsidRPr="005718C8" w:rsidRDefault="00243E0D" w:rsidP="00431DD0">
      <w:pPr>
        <w:pStyle w:val="pf0"/>
        <w:numPr>
          <w:ilvl w:val="1"/>
          <w:numId w:val="107"/>
        </w:numPr>
        <w:spacing w:before="0" w:beforeAutospacing="0" w:after="120" w:afterAutospacing="0"/>
        <w:ind w:left="1434" w:hanging="357"/>
        <w:rPr>
          <w:rFonts w:asciiTheme="minorHAnsi" w:eastAsiaTheme="minorEastAsia" w:hAnsiTheme="minorHAnsi" w:cstheme="minorBidi"/>
          <w:kern w:val="2"/>
          <w:sz w:val="20"/>
          <w:szCs w:val="20"/>
          <w:lang w:eastAsia="en-US"/>
          <w14:ligatures w14:val="standardContextual"/>
        </w:rPr>
      </w:pPr>
      <w:proofErr w:type="gramStart"/>
      <w:r w:rsidRPr="15E7A362">
        <w:rPr>
          <w:rFonts w:asciiTheme="minorHAnsi" w:eastAsiaTheme="minorEastAsia" w:hAnsiTheme="minorHAnsi" w:cstheme="minorBidi"/>
          <w:kern w:val="2"/>
          <w:sz w:val="20"/>
          <w:szCs w:val="20"/>
          <w:lang w:eastAsia="en-US"/>
          <w14:ligatures w14:val="standardContextual"/>
        </w:rPr>
        <w:t>risques</w:t>
      </w:r>
      <w:proofErr w:type="gramEnd"/>
      <w:r w:rsidRPr="15E7A362">
        <w:rPr>
          <w:rFonts w:asciiTheme="minorHAnsi" w:eastAsiaTheme="minorEastAsia" w:hAnsiTheme="minorHAnsi" w:cstheme="minorBidi"/>
          <w:kern w:val="2"/>
          <w:sz w:val="20"/>
          <w:szCs w:val="20"/>
          <w:lang w:eastAsia="en-US"/>
          <w14:ligatures w14:val="standardContextual"/>
        </w:rPr>
        <w:t xml:space="preserve"> de marché </w:t>
      </w:r>
      <w:r w:rsidRPr="15E7A362">
        <w:rPr>
          <w:rFonts w:asciiTheme="minorHAnsi" w:eastAsiaTheme="minorEastAsia" w:hAnsiTheme="minorHAnsi" w:cstheme="minorBidi"/>
          <w:i/>
          <w:kern w:val="2"/>
          <w:sz w:val="20"/>
          <w:szCs w:val="20"/>
          <w:lang w:eastAsia="en-US"/>
          <w14:ligatures w14:val="standardContextual"/>
        </w:rPr>
        <w:t xml:space="preserve">(évolution des prix, appels de marges, volumes ou nombre de clients, </w:t>
      </w:r>
      <w:r w:rsidRPr="00766A08">
        <w:rPr>
          <w:rFonts w:asciiTheme="minorHAnsi" w:eastAsiaTheme="minorEastAsia" w:hAnsiTheme="minorHAnsi" w:cstheme="minorBidi"/>
          <w:i/>
          <w:kern w:val="2"/>
          <w:sz w:val="20"/>
          <w:szCs w:val="20"/>
          <w:lang w:eastAsia="en-US"/>
          <w14:ligatures w14:val="standardContextual"/>
        </w:rPr>
        <w:t>risque climatique, risque de cascading</w:t>
      </w:r>
      <w:r w:rsidRPr="15E7A362">
        <w:rPr>
          <w:rFonts w:asciiTheme="minorHAnsi" w:eastAsiaTheme="minorEastAsia" w:hAnsiTheme="minorHAnsi" w:cstheme="minorBidi"/>
          <w:i/>
          <w:kern w:val="2"/>
          <w:sz w:val="20"/>
          <w:szCs w:val="20"/>
          <w:lang w:eastAsia="en-US"/>
          <w14:ligatures w14:val="standardContextual"/>
        </w:rPr>
        <w:t>)</w:t>
      </w:r>
      <w:r w:rsidRPr="15E7A362">
        <w:rPr>
          <w:rFonts w:asciiTheme="minorHAnsi" w:eastAsiaTheme="minorEastAsia" w:hAnsiTheme="minorHAnsi" w:cstheme="minorBidi"/>
          <w:i/>
          <w:iCs/>
          <w:kern w:val="2"/>
          <w:sz w:val="20"/>
          <w:szCs w:val="20"/>
          <w:lang w:eastAsia="en-US"/>
          <w14:ligatures w14:val="standardContextual"/>
        </w:rPr>
        <w:t xml:space="preserve"> ;</w:t>
      </w:r>
    </w:p>
    <w:p w14:paraId="5640BE3F" w14:textId="77777777" w:rsidR="00243E0D" w:rsidRPr="00650020" w:rsidRDefault="00243E0D" w:rsidP="00431DD0">
      <w:pPr>
        <w:pStyle w:val="pf0"/>
        <w:numPr>
          <w:ilvl w:val="1"/>
          <w:numId w:val="107"/>
        </w:numPr>
        <w:spacing w:before="0" w:beforeAutospacing="0" w:after="120" w:afterAutospacing="0"/>
        <w:ind w:left="1434" w:hanging="357"/>
        <w:rPr>
          <w:rFonts w:asciiTheme="minorHAnsi" w:eastAsiaTheme="minorEastAsia" w:hAnsiTheme="minorHAnsi" w:cstheme="minorBidi"/>
          <w:kern w:val="2"/>
          <w:sz w:val="20"/>
          <w:szCs w:val="20"/>
          <w:lang w:eastAsia="en-US"/>
          <w14:ligatures w14:val="standardContextual"/>
        </w:rPr>
      </w:pPr>
      <w:proofErr w:type="gramStart"/>
      <w:r w:rsidRPr="50BAB5E2">
        <w:rPr>
          <w:rFonts w:asciiTheme="minorHAnsi" w:eastAsiaTheme="minorEastAsia" w:hAnsiTheme="minorHAnsi" w:cstheme="minorBidi"/>
          <w:sz w:val="20"/>
          <w:szCs w:val="20"/>
          <w:lang w:eastAsia="en-US"/>
        </w:rPr>
        <w:t>r</w:t>
      </w:r>
      <w:r w:rsidRPr="15E7A362">
        <w:rPr>
          <w:rFonts w:asciiTheme="minorHAnsi" w:eastAsiaTheme="minorEastAsia" w:hAnsiTheme="minorHAnsi" w:cstheme="minorBidi"/>
          <w:kern w:val="2"/>
          <w:sz w:val="20"/>
          <w:szCs w:val="20"/>
          <w:lang w:eastAsia="en-US"/>
          <w14:ligatures w14:val="standardContextual"/>
        </w:rPr>
        <w:t>isques</w:t>
      </w:r>
      <w:proofErr w:type="gramEnd"/>
      <w:r w:rsidRPr="15E7A362">
        <w:rPr>
          <w:rFonts w:asciiTheme="minorHAnsi" w:eastAsiaTheme="minorEastAsia" w:hAnsiTheme="minorHAnsi" w:cstheme="minorBidi"/>
          <w:kern w:val="2"/>
          <w:sz w:val="20"/>
          <w:szCs w:val="20"/>
          <w:lang w:eastAsia="en-US"/>
          <w14:ligatures w14:val="standardContextual"/>
        </w:rPr>
        <w:t xml:space="preserve"> du débiteur </w:t>
      </w:r>
      <w:r w:rsidRPr="15E7A362">
        <w:rPr>
          <w:rFonts w:asciiTheme="minorHAnsi" w:eastAsiaTheme="minorEastAsia" w:hAnsiTheme="minorHAnsi" w:cstheme="minorBidi"/>
          <w:i/>
          <w:kern w:val="2"/>
          <w:sz w:val="20"/>
          <w:szCs w:val="20"/>
          <w:lang w:eastAsia="en-US"/>
          <w14:ligatures w14:val="standardContextual"/>
        </w:rPr>
        <w:t>(non-paiement ou retard de paiement d’un débiteur)</w:t>
      </w:r>
      <w:r w:rsidRPr="15E7A362">
        <w:rPr>
          <w:rFonts w:asciiTheme="minorHAnsi" w:eastAsiaTheme="minorEastAsia" w:hAnsiTheme="minorHAnsi" w:cstheme="minorBidi"/>
          <w:i/>
          <w:iCs/>
          <w:kern w:val="2"/>
          <w:sz w:val="20"/>
          <w:szCs w:val="20"/>
          <w:lang w:eastAsia="en-US"/>
          <w14:ligatures w14:val="standardContextual"/>
        </w:rPr>
        <w:t xml:space="preserve"> </w:t>
      </w:r>
      <w:r w:rsidRPr="50BAB5E2">
        <w:rPr>
          <w:rFonts w:asciiTheme="minorHAnsi" w:eastAsiaTheme="minorEastAsia" w:hAnsiTheme="minorHAnsi" w:cstheme="minorBidi"/>
          <w:i/>
          <w:iCs/>
          <w:kern w:val="2"/>
          <w:sz w:val="20"/>
          <w:szCs w:val="20"/>
          <w:lang w:eastAsia="en-US"/>
          <w14:ligatures w14:val="standardContextual"/>
        </w:rPr>
        <w:t>;</w:t>
      </w:r>
    </w:p>
    <w:p w14:paraId="0CCF693B" w14:textId="77777777" w:rsidR="00243E0D" w:rsidRDefault="00243E0D" w:rsidP="00431DD0">
      <w:pPr>
        <w:pStyle w:val="pf0"/>
        <w:numPr>
          <w:ilvl w:val="1"/>
          <w:numId w:val="107"/>
        </w:numPr>
        <w:spacing w:before="0" w:beforeAutospacing="0" w:after="120" w:afterAutospacing="0"/>
        <w:ind w:left="1434" w:hanging="357"/>
        <w:rPr>
          <w:rFonts w:asciiTheme="minorHAnsi" w:eastAsiaTheme="minorHAnsi" w:hAnsiTheme="minorHAnsi" w:cstheme="minorBidi"/>
          <w:kern w:val="2"/>
          <w:sz w:val="20"/>
          <w:lang w:eastAsia="en-US"/>
          <w14:ligatures w14:val="standardContextual"/>
        </w:rPr>
      </w:pPr>
      <w:proofErr w:type="gramStart"/>
      <w:r w:rsidRPr="50BAB5E2">
        <w:rPr>
          <w:rFonts w:asciiTheme="minorHAnsi" w:eastAsiaTheme="minorEastAsia" w:hAnsiTheme="minorHAnsi" w:cstheme="minorBidi"/>
          <w:kern w:val="2"/>
          <w:sz w:val="20"/>
          <w:szCs w:val="20"/>
          <w:lang w:eastAsia="en-US"/>
          <w14:ligatures w14:val="standardContextual"/>
        </w:rPr>
        <w:t>r</w:t>
      </w:r>
      <w:r>
        <w:rPr>
          <w:rFonts w:asciiTheme="minorHAnsi" w:eastAsiaTheme="minorHAnsi" w:hAnsiTheme="minorHAnsi" w:cstheme="minorBidi"/>
          <w:kern w:val="2"/>
          <w:sz w:val="20"/>
          <w:lang w:eastAsia="en-US"/>
          <w14:ligatures w14:val="standardContextual"/>
        </w:rPr>
        <w:t>isques</w:t>
      </w:r>
      <w:proofErr w:type="gramEnd"/>
      <w:r>
        <w:rPr>
          <w:rFonts w:asciiTheme="minorHAnsi" w:eastAsiaTheme="minorHAnsi" w:hAnsiTheme="minorHAnsi" w:cstheme="minorBidi"/>
          <w:kern w:val="2"/>
          <w:sz w:val="20"/>
          <w:lang w:eastAsia="en-US"/>
          <w14:ligatures w14:val="standardContextual"/>
        </w:rPr>
        <w:t xml:space="preserve"> de contrepartie</w:t>
      </w:r>
      <w:r w:rsidRPr="50BAB5E2">
        <w:rPr>
          <w:rFonts w:asciiTheme="minorHAnsi" w:eastAsiaTheme="minorEastAsia" w:hAnsiTheme="minorHAnsi" w:cstheme="minorBidi"/>
          <w:kern w:val="2"/>
          <w:sz w:val="20"/>
          <w:szCs w:val="20"/>
          <w:lang w:eastAsia="en-US"/>
          <w14:ligatures w14:val="standardContextual"/>
        </w:rPr>
        <w:t xml:space="preserve"> ;</w:t>
      </w:r>
    </w:p>
    <w:p w14:paraId="0C04B6F5" w14:textId="77777777" w:rsidR="00243E0D" w:rsidRPr="00650020" w:rsidRDefault="00243E0D" w:rsidP="00431DD0">
      <w:pPr>
        <w:pStyle w:val="pf0"/>
        <w:numPr>
          <w:ilvl w:val="1"/>
          <w:numId w:val="107"/>
        </w:numPr>
        <w:spacing w:before="0" w:beforeAutospacing="0" w:after="120" w:afterAutospacing="0"/>
        <w:ind w:left="1434" w:hanging="357"/>
        <w:rPr>
          <w:rFonts w:asciiTheme="minorHAnsi" w:eastAsiaTheme="minorHAnsi" w:hAnsiTheme="minorHAnsi" w:cstheme="minorBidi"/>
          <w:kern w:val="2"/>
          <w:sz w:val="20"/>
          <w:lang w:eastAsia="en-US"/>
          <w14:ligatures w14:val="standardContextual"/>
        </w:rPr>
      </w:pPr>
      <w:proofErr w:type="gramStart"/>
      <w:r w:rsidRPr="50BAB5E2">
        <w:rPr>
          <w:rFonts w:asciiTheme="minorHAnsi" w:eastAsiaTheme="minorEastAsia" w:hAnsiTheme="minorHAnsi" w:cstheme="minorBidi"/>
          <w:kern w:val="2"/>
          <w:sz w:val="20"/>
          <w:szCs w:val="20"/>
          <w:lang w:eastAsia="en-US"/>
          <w14:ligatures w14:val="standardContextual"/>
        </w:rPr>
        <w:t>r</w:t>
      </w:r>
      <w:r>
        <w:rPr>
          <w:rFonts w:asciiTheme="minorHAnsi" w:eastAsiaTheme="minorHAnsi" w:hAnsiTheme="minorHAnsi" w:cstheme="minorBidi"/>
          <w:kern w:val="2"/>
          <w:sz w:val="20"/>
          <w:lang w:eastAsia="en-US"/>
          <w14:ligatures w14:val="standardContextual"/>
        </w:rPr>
        <w:t>isques</w:t>
      </w:r>
      <w:proofErr w:type="gramEnd"/>
      <w:r>
        <w:rPr>
          <w:rFonts w:asciiTheme="minorHAnsi" w:eastAsiaTheme="minorHAnsi" w:hAnsiTheme="minorHAnsi" w:cstheme="minorBidi"/>
          <w:kern w:val="2"/>
          <w:sz w:val="20"/>
          <w:lang w:eastAsia="en-US"/>
          <w14:ligatures w14:val="standardContextual"/>
        </w:rPr>
        <w:t xml:space="preserve"> de liquidité </w:t>
      </w:r>
      <w:r>
        <w:rPr>
          <w:rFonts w:asciiTheme="minorHAnsi" w:eastAsiaTheme="minorHAnsi" w:hAnsiTheme="minorHAnsi" w:cstheme="minorBidi"/>
          <w:i/>
          <w:iCs/>
          <w:kern w:val="2"/>
          <w:sz w:val="20"/>
          <w:lang w:eastAsia="en-US"/>
          <w14:ligatures w14:val="standardContextual"/>
        </w:rPr>
        <w:t>(liquidités insuffisantes face aux obligations de paiement)</w:t>
      </w:r>
      <w:r w:rsidRPr="50BAB5E2">
        <w:rPr>
          <w:rFonts w:asciiTheme="minorHAnsi" w:eastAsiaTheme="minorEastAsia" w:hAnsiTheme="minorHAnsi" w:cstheme="minorBidi"/>
          <w:i/>
          <w:iCs/>
          <w:kern w:val="2"/>
          <w:sz w:val="20"/>
          <w:szCs w:val="20"/>
          <w:lang w:eastAsia="en-US"/>
          <w14:ligatures w14:val="standardContextual"/>
        </w:rPr>
        <w:t xml:space="preserve"> ;</w:t>
      </w:r>
    </w:p>
    <w:p w14:paraId="2BEB8329" w14:textId="77777777" w:rsidR="00243E0D" w:rsidRPr="00431DD0" w:rsidRDefault="00243E0D" w:rsidP="009B708C">
      <w:pPr>
        <w:pStyle w:val="pf0"/>
        <w:numPr>
          <w:ilvl w:val="1"/>
          <w:numId w:val="107"/>
        </w:numPr>
        <w:spacing w:before="0" w:beforeAutospacing="0" w:after="120" w:afterAutospacing="0"/>
        <w:ind w:left="1434" w:hanging="357"/>
        <w:rPr>
          <w:rFonts w:asciiTheme="minorHAnsi" w:eastAsiaTheme="minorHAnsi" w:hAnsiTheme="minorHAnsi" w:cstheme="minorBidi"/>
          <w:kern w:val="2"/>
          <w:sz w:val="20"/>
          <w:lang w:eastAsia="en-US"/>
          <w14:ligatures w14:val="standardContextual"/>
        </w:rPr>
      </w:pPr>
      <w:proofErr w:type="gramStart"/>
      <w:r w:rsidRPr="50BAB5E2">
        <w:rPr>
          <w:rFonts w:asciiTheme="minorHAnsi" w:eastAsiaTheme="minorEastAsia" w:hAnsiTheme="minorHAnsi" w:cstheme="minorBidi"/>
          <w:kern w:val="2"/>
          <w:sz w:val="20"/>
          <w:szCs w:val="20"/>
          <w:lang w:eastAsia="en-US"/>
          <w14:ligatures w14:val="standardContextual"/>
        </w:rPr>
        <w:t>r</w:t>
      </w:r>
      <w:r>
        <w:rPr>
          <w:rFonts w:asciiTheme="minorHAnsi" w:eastAsiaTheme="minorHAnsi" w:hAnsiTheme="minorHAnsi" w:cstheme="minorBidi"/>
          <w:kern w:val="2"/>
          <w:sz w:val="20"/>
          <w:lang w:eastAsia="en-US"/>
          <w14:ligatures w14:val="standardContextual"/>
        </w:rPr>
        <w:t>isques</w:t>
      </w:r>
      <w:proofErr w:type="gramEnd"/>
      <w:r>
        <w:rPr>
          <w:rFonts w:asciiTheme="minorHAnsi" w:eastAsiaTheme="minorHAnsi" w:hAnsiTheme="minorHAnsi" w:cstheme="minorBidi"/>
          <w:kern w:val="2"/>
          <w:sz w:val="20"/>
          <w:lang w:eastAsia="en-US"/>
          <w14:ligatures w14:val="standardContextual"/>
        </w:rPr>
        <w:t xml:space="preserve"> liés à d’autres activités annexes à la fourniture d’électricité et de gaz</w:t>
      </w:r>
      <w:r w:rsidRPr="50BAB5E2">
        <w:rPr>
          <w:rFonts w:asciiTheme="minorHAnsi" w:eastAsiaTheme="minorEastAsia" w:hAnsiTheme="minorHAnsi" w:cstheme="minorBidi"/>
          <w:kern w:val="2"/>
          <w:sz w:val="20"/>
          <w:szCs w:val="20"/>
          <w:lang w:eastAsia="en-US"/>
          <w14:ligatures w14:val="standardContextual"/>
        </w:rPr>
        <w:t>.</w:t>
      </w:r>
    </w:p>
    <w:p w14:paraId="448FABAD" w14:textId="7B93F598" w:rsidR="00753155" w:rsidRPr="00842452" w:rsidRDefault="005730A8" w:rsidP="00431DD0">
      <w:pPr>
        <w:pStyle w:val="pf0"/>
        <w:numPr>
          <w:ilvl w:val="0"/>
          <w:numId w:val="107"/>
        </w:numPr>
        <w:spacing w:before="0" w:beforeAutospacing="0" w:after="120" w:afterAutospacing="0"/>
        <w:ind w:left="714" w:hanging="357"/>
      </w:pPr>
      <w:r>
        <w:rPr>
          <w:rFonts w:asciiTheme="minorHAnsi" w:eastAsiaTheme="minorEastAsia" w:hAnsiTheme="minorHAnsi" w:cstheme="minorBidi"/>
          <w:b/>
          <w:kern w:val="2"/>
          <w:sz w:val="20"/>
          <w:szCs w:val="20"/>
          <w:lang w:eastAsia="en-US"/>
          <w14:ligatures w14:val="standardContextual"/>
        </w:rPr>
        <w:t>La d</w:t>
      </w:r>
      <w:r w:rsidR="004F5A3E" w:rsidRPr="00C621B6">
        <w:rPr>
          <w:rFonts w:asciiTheme="minorHAnsi" w:eastAsiaTheme="minorEastAsia" w:hAnsiTheme="minorHAnsi" w:cstheme="minorBidi"/>
          <w:b/>
          <w:kern w:val="2"/>
          <w:sz w:val="20"/>
          <w:szCs w:val="20"/>
          <w:lang w:eastAsia="en-US"/>
          <w14:ligatures w14:val="standardContextual"/>
        </w:rPr>
        <w:t>ocument</w:t>
      </w:r>
      <w:r w:rsidR="00524A3B" w:rsidRPr="00C621B6">
        <w:rPr>
          <w:rFonts w:asciiTheme="minorHAnsi" w:eastAsiaTheme="minorEastAsia" w:hAnsiTheme="minorHAnsi" w:cstheme="minorBidi"/>
          <w:b/>
          <w:kern w:val="2"/>
          <w:sz w:val="20"/>
          <w:szCs w:val="20"/>
          <w:lang w:eastAsia="en-US"/>
          <w14:ligatures w14:val="standardContextual"/>
        </w:rPr>
        <w:t xml:space="preserve">ation interne </w:t>
      </w:r>
      <w:r w:rsidR="004E08BD" w:rsidRPr="00C621B6">
        <w:rPr>
          <w:rFonts w:asciiTheme="minorHAnsi" w:eastAsiaTheme="minorEastAsia" w:hAnsiTheme="minorHAnsi" w:cstheme="minorBidi"/>
          <w:b/>
          <w:kern w:val="2"/>
          <w:sz w:val="20"/>
          <w:szCs w:val="20"/>
          <w:lang w:eastAsia="en-US"/>
          <w14:ligatures w14:val="standardContextual"/>
        </w:rPr>
        <w:t xml:space="preserve">du fournisseur </w:t>
      </w:r>
      <w:r w:rsidR="00E93081" w:rsidRPr="00C621B6">
        <w:rPr>
          <w:rFonts w:asciiTheme="minorHAnsi" w:eastAsiaTheme="minorEastAsia" w:hAnsiTheme="minorHAnsi" w:cstheme="minorBidi"/>
          <w:b/>
          <w:kern w:val="2"/>
          <w:sz w:val="20"/>
          <w:szCs w:val="20"/>
          <w:lang w:eastAsia="en-US"/>
          <w14:ligatures w14:val="standardContextual"/>
        </w:rPr>
        <w:t xml:space="preserve">définissant une procédure de gestion de risque : </w:t>
      </w:r>
      <w:r w:rsidR="00E93081" w:rsidRPr="00C621B6">
        <w:rPr>
          <w:rFonts w:asciiTheme="minorHAnsi" w:eastAsiaTheme="minorEastAsia" w:hAnsiTheme="minorHAnsi" w:cstheme="minorBidi"/>
          <w:kern w:val="2"/>
          <w:sz w:val="20"/>
          <w:szCs w:val="20"/>
          <w:lang w:eastAsia="en-US"/>
          <w14:ligatures w14:val="standardContextual"/>
        </w:rPr>
        <w:t>Elle précisera</w:t>
      </w:r>
      <w:r w:rsidR="00524A3B" w:rsidRPr="00C621B6">
        <w:rPr>
          <w:rFonts w:asciiTheme="minorHAnsi" w:eastAsiaTheme="minorEastAsia" w:hAnsiTheme="minorHAnsi" w:cstheme="minorBidi"/>
          <w:kern w:val="2"/>
          <w:sz w:val="20"/>
          <w:szCs w:val="20"/>
          <w:lang w:eastAsia="en-US"/>
          <w14:ligatures w14:val="standardContextual"/>
        </w:rPr>
        <w:t xml:space="preserve"> </w:t>
      </w:r>
      <w:r w:rsidR="00C621B6" w:rsidRPr="00C621B6">
        <w:rPr>
          <w:rFonts w:asciiTheme="minorHAnsi" w:eastAsiaTheme="minorEastAsia" w:hAnsiTheme="minorHAnsi" w:cstheme="minorBidi"/>
          <w:kern w:val="2"/>
          <w:sz w:val="20"/>
          <w:szCs w:val="20"/>
          <w:lang w:eastAsia="en-US"/>
          <w14:ligatures w14:val="standardContextual"/>
        </w:rPr>
        <w:t>l’implication des organes dirigeants dans cette procédure, en particulier pour le contrôle interne et les modalités d’approbation des limites de risque</w:t>
      </w:r>
      <w:r w:rsidR="00C621B6">
        <w:rPr>
          <w:rFonts w:asciiTheme="minorHAnsi" w:eastAsiaTheme="minorEastAsia" w:hAnsiTheme="minorHAnsi" w:cstheme="minorBidi"/>
          <w:kern w:val="2"/>
          <w:sz w:val="20"/>
          <w:szCs w:val="20"/>
          <w:lang w:eastAsia="en-US"/>
          <w14:ligatures w14:val="standardContextual"/>
        </w:rPr>
        <w:t xml:space="preserve">. </w:t>
      </w:r>
    </w:p>
    <w:p w14:paraId="60EF9024" w14:textId="588D1A6D" w:rsidR="00473E10" w:rsidRPr="00842452" w:rsidRDefault="00473E10" w:rsidP="00842452">
      <w:pPr>
        <w:pStyle w:val="pf0"/>
        <w:spacing w:before="0" w:beforeAutospacing="0" w:after="120" w:afterAutospacing="0"/>
        <w:jc w:val="both"/>
        <w:rPr>
          <w:rFonts w:asciiTheme="minorHAnsi" w:eastAsiaTheme="minorHAnsi" w:hAnsiTheme="minorHAnsi" w:cstheme="minorBidi"/>
          <w:kern w:val="2"/>
          <w:sz w:val="20"/>
          <w:lang w:eastAsia="en-US"/>
          <w14:ligatures w14:val="standardContextual"/>
        </w:rPr>
      </w:pPr>
      <w:r w:rsidRPr="00842452">
        <w:rPr>
          <w:rFonts w:asciiTheme="minorHAnsi" w:eastAsiaTheme="minorHAnsi" w:hAnsiTheme="minorHAnsi" w:cstheme="minorBidi"/>
          <w:kern w:val="2"/>
          <w:sz w:val="20"/>
          <w:lang w:eastAsia="en-US"/>
          <w14:ligatures w14:val="standardContextual"/>
        </w:rPr>
        <w:t>Aucun format particulier n’est requis pour le document concernant la cartographie des risques mentionnée</w:t>
      </w:r>
      <w:r>
        <w:rPr>
          <w:rFonts w:asciiTheme="minorHAnsi" w:eastAsiaTheme="minorHAnsi" w:hAnsiTheme="minorHAnsi" w:cstheme="minorBidi"/>
          <w:kern w:val="2"/>
          <w:sz w:val="20"/>
          <w:lang w:eastAsia="en-US"/>
          <w14:ligatures w14:val="standardContextual"/>
        </w:rPr>
        <w:t xml:space="preserve">. </w:t>
      </w:r>
      <w:r w:rsidRPr="00842452">
        <w:rPr>
          <w:rFonts w:asciiTheme="minorHAnsi" w:eastAsiaTheme="minorHAnsi" w:hAnsiTheme="minorHAnsi" w:cstheme="minorBidi"/>
          <w:kern w:val="2"/>
          <w:sz w:val="20"/>
          <w:lang w:eastAsia="en-US"/>
          <w14:ligatures w14:val="standardContextual"/>
        </w:rPr>
        <w:t>Les acteurs concernés peuvent envoyer tout document préexistant permettant de qualifier et identifier les risques supportés par la société.</w:t>
      </w:r>
    </w:p>
    <w:sectPr w:rsidR="00473E10" w:rsidRPr="00842452" w:rsidSect="00963E04">
      <w:headerReference w:type="default" r:id="rId14"/>
      <w:footerReference w:type="even" r:id="rId15"/>
      <w:footerReference w:type="default" r:id="rId16"/>
      <w:headerReference w:type="first" r:id="rId17"/>
      <w:footerReference w:type="first" r:id="rId18"/>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51A4F" w14:textId="77777777" w:rsidR="006D3E3D" w:rsidRDefault="006D3E3D" w:rsidP="00D5094A">
      <w:pPr>
        <w:spacing w:after="0"/>
      </w:pPr>
      <w:r>
        <w:separator/>
      </w:r>
    </w:p>
    <w:p w14:paraId="386F2F0D" w14:textId="77777777" w:rsidR="006D3E3D" w:rsidRDefault="006D3E3D"/>
    <w:p w14:paraId="1C6CE436" w14:textId="77777777" w:rsidR="006D3E3D" w:rsidRDefault="006D3E3D"/>
  </w:endnote>
  <w:endnote w:type="continuationSeparator" w:id="0">
    <w:p w14:paraId="59DB0A28" w14:textId="77777777" w:rsidR="006D3E3D" w:rsidRDefault="006D3E3D" w:rsidP="00D5094A">
      <w:pPr>
        <w:spacing w:after="0"/>
      </w:pPr>
      <w:r>
        <w:continuationSeparator/>
      </w:r>
    </w:p>
    <w:p w14:paraId="432185FC" w14:textId="77777777" w:rsidR="006D3E3D" w:rsidRDefault="006D3E3D"/>
    <w:p w14:paraId="781DEC23" w14:textId="77777777" w:rsidR="006D3E3D" w:rsidRDefault="006D3E3D"/>
  </w:endnote>
  <w:endnote w:type="continuationNotice" w:id="1">
    <w:p w14:paraId="1CF066E3" w14:textId="77777777" w:rsidR="006D3E3D" w:rsidRDefault="006D3E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New Roman (Corps CS)">
    <w:altName w:val="Times New Roman"/>
    <w:charset w:val="00"/>
    <w:family w:val="roman"/>
    <w:pitch w:val="default"/>
  </w:font>
  <w:font w:name="Consolas">
    <w:panose1 w:val="020B0609020204030204"/>
    <w:charset w:val="00"/>
    <w:family w:val="modern"/>
    <w:pitch w:val="fixed"/>
    <w:sig w:usb0="E10006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414054709"/>
      <w:docPartObj>
        <w:docPartGallery w:val="Page Numbers (Bottom of Page)"/>
        <w:docPartUnique/>
      </w:docPartObj>
    </w:sdtPr>
    <w:sdtEndPr>
      <w:rPr>
        <w:rStyle w:val="Numrodepage"/>
      </w:rPr>
    </w:sdtEndPr>
    <w:sdtContent>
      <w:p w14:paraId="7D91DF18" w14:textId="77777777" w:rsidR="005F76C3" w:rsidRDefault="005F76C3">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60288C69" w14:textId="77777777" w:rsidR="005F76C3" w:rsidRDefault="005F76C3" w:rsidP="005F76C3">
    <w:pPr>
      <w:pStyle w:val="Pieddepage"/>
      <w:ind w:right="360"/>
    </w:pPr>
  </w:p>
  <w:p w14:paraId="0E9F792E" w14:textId="77777777" w:rsidR="00687898" w:rsidRDefault="00687898"/>
  <w:p w14:paraId="16F895CE" w14:textId="77777777" w:rsidR="00D852AD" w:rsidRDefault="00D852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1358880563"/>
      <w:docPartObj>
        <w:docPartGallery w:val="Page Numbers (Bottom of Page)"/>
        <w:docPartUnique/>
      </w:docPartObj>
    </w:sdtPr>
    <w:sdtEndPr>
      <w:rPr>
        <w:rStyle w:val="Numrodepage"/>
      </w:rPr>
    </w:sdtEndPr>
    <w:sdtContent>
      <w:p w14:paraId="2FA968FD" w14:textId="77777777" w:rsidR="005F76C3" w:rsidRDefault="005F76C3" w:rsidP="00563FD1">
        <w:pPr>
          <w:pStyle w:val="Pieddepage"/>
          <w:framePr w:wrap="none" w:vAnchor="text" w:hAnchor="page" w:x="10215" w:y="332"/>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 MERGEFORMAT </w:instrText>
        </w:r>
        <w:r>
          <w:rPr>
            <w:rStyle w:val="Numrodepage"/>
          </w:rPr>
          <w:fldChar w:fldCharType="separate"/>
        </w:r>
        <w:r>
          <w:rPr>
            <w:rStyle w:val="Numrodepage"/>
            <w:noProof/>
          </w:rPr>
          <w:t>2</w:t>
        </w:r>
        <w:r>
          <w:rPr>
            <w:rStyle w:val="Numrodepage"/>
          </w:rPr>
          <w:fldChar w:fldCharType="end"/>
        </w:r>
      </w:p>
    </w:sdtContent>
  </w:sdt>
  <w:p w14:paraId="112D84DC" w14:textId="77777777" w:rsidR="00687898" w:rsidRDefault="00563FD1" w:rsidP="006A0664">
    <w:pPr>
      <w:pStyle w:val="Pieddepage"/>
      <w:ind w:right="360"/>
    </w:pPr>
    <w:r>
      <w:rPr>
        <w:noProof/>
      </w:rPr>
      <w:drawing>
        <wp:anchor distT="0" distB="0" distL="114300" distR="114300" simplePos="0" relativeHeight="251658241" behindDoc="0" locked="0" layoutInCell="1" allowOverlap="1" wp14:anchorId="007AEDBF" wp14:editId="06FF78D4">
          <wp:simplePos x="0" y="0"/>
          <wp:positionH relativeFrom="column">
            <wp:posOffset>4445</wp:posOffset>
          </wp:positionH>
          <wp:positionV relativeFrom="paragraph">
            <wp:posOffset>202695</wp:posOffset>
          </wp:positionV>
          <wp:extent cx="607060" cy="231775"/>
          <wp:effectExtent l="0" t="0" r="2540" b="0"/>
          <wp:wrapNone/>
          <wp:docPr id="569000026" name="Image 569000026" descr="Une image contenant Graphique, Police, logo, symbo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279724" name="Image 1" descr="Une image contenant Graphique, Police, logo, symbole&#10;&#10;Description générée automatiquement"/>
                  <pic:cNvPicPr/>
                </pic:nvPicPr>
                <pic:blipFill rotWithShape="1">
                  <a:blip r:embed="rId1">
                    <a:extLst>
                      <a:ext uri="{28A0092B-C50C-407E-A947-70E740481C1C}">
                        <a14:useLocalDpi xmlns:a14="http://schemas.microsoft.com/office/drawing/2010/main" val="0"/>
                      </a:ext>
                    </a:extLst>
                  </a:blip>
                  <a:srcRect l="5693" t="32929" r="4858" b="32921"/>
                  <a:stretch/>
                </pic:blipFill>
                <pic:spPr bwMode="auto">
                  <a:xfrm>
                    <a:off x="0" y="0"/>
                    <a:ext cx="607060" cy="2317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A4EA253" w14:textId="77777777" w:rsidR="00D852AD" w:rsidRDefault="00D852A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1852022444"/>
      <w:docPartObj>
        <w:docPartGallery w:val="Page Numbers (Bottom of Page)"/>
        <w:docPartUnique/>
      </w:docPartObj>
    </w:sdtPr>
    <w:sdtEndPr>
      <w:rPr>
        <w:rStyle w:val="Numrodepage"/>
      </w:rPr>
    </w:sdtEndPr>
    <w:sdtContent>
      <w:p w14:paraId="58189EB4" w14:textId="77777777" w:rsidR="00087265" w:rsidRDefault="00087265" w:rsidP="00563FD1">
        <w:pPr>
          <w:pStyle w:val="Pieddepage"/>
          <w:framePr w:wrap="none" w:vAnchor="text" w:hAnchor="margin" w:xAlign="right" w:y="324"/>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 MERGEFORMAT </w:instrText>
        </w:r>
        <w:r>
          <w:rPr>
            <w:rStyle w:val="Numrodepage"/>
          </w:rPr>
          <w:fldChar w:fldCharType="separate"/>
        </w:r>
        <w:r>
          <w:rPr>
            <w:rStyle w:val="Numrodepage"/>
            <w:noProof/>
          </w:rPr>
          <w:t>4</w:t>
        </w:r>
        <w:r>
          <w:rPr>
            <w:rStyle w:val="Numrodepage"/>
          </w:rPr>
          <w:fldChar w:fldCharType="end"/>
        </w:r>
      </w:p>
    </w:sdtContent>
  </w:sdt>
  <w:p w14:paraId="438D3DE0" w14:textId="77777777" w:rsidR="00687898" w:rsidRDefault="00087265" w:rsidP="00695755">
    <w:pPr>
      <w:pStyle w:val="Pieddepage"/>
      <w:ind w:right="360"/>
    </w:pPr>
    <w:r>
      <w:rPr>
        <w:noProof/>
      </w:rPr>
      <w:drawing>
        <wp:anchor distT="0" distB="0" distL="114300" distR="114300" simplePos="0" relativeHeight="251658240" behindDoc="0" locked="0" layoutInCell="1" allowOverlap="1" wp14:anchorId="04E16E26" wp14:editId="574B5237">
          <wp:simplePos x="0" y="0"/>
          <wp:positionH relativeFrom="column">
            <wp:posOffset>4445</wp:posOffset>
          </wp:positionH>
          <wp:positionV relativeFrom="paragraph">
            <wp:posOffset>206404</wp:posOffset>
          </wp:positionV>
          <wp:extent cx="607202" cy="231820"/>
          <wp:effectExtent l="0" t="0" r="2540" b="0"/>
          <wp:wrapNone/>
          <wp:docPr id="2104250602" name="Image 2104250602" descr="Une image contenant Graphique, Police, logo, symbo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279724" name="Image 1" descr="Une image contenant Graphique, Police, logo, symbole&#10;&#10;Description générée automatiquement"/>
                  <pic:cNvPicPr/>
                </pic:nvPicPr>
                <pic:blipFill rotWithShape="1">
                  <a:blip r:embed="rId1">
                    <a:extLst>
                      <a:ext uri="{28A0092B-C50C-407E-A947-70E740481C1C}">
                        <a14:useLocalDpi xmlns:a14="http://schemas.microsoft.com/office/drawing/2010/main" val="0"/>
                      </a:ext>
                    </a:extLst>
                  </a:blip>
                  <a:srcRect l="5693" t="32929" r="4858" b="32921"/>
                  <a:stretch/>
                </pic:blipFill>
                <pic:spPr bwMode="auto">
                  <a:xfrm>
                    <a:off x="0" y="0"/>
                    <a:ext cx="607202" cy="2318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C8B9617" w14:textId="77777777" w:rsidR="00D852AD" w:rsidRDefault="00D852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6CCB8" w14:textId="77777777" w:rsidR="006D3E3D" w:rsidRDefault="006D3E3D">
      <w:r>
        <w:separator/>
      </w:r>
    </w:p>
  </w:footnote>
  <w:footnote w:type="continuationSeparator" w:id="0">
    <w:p w14:paraId="641D61B6" w14:textId="77777777" w:rsidR="006D3E3D" w:rsidRDefault="006D3E3D" w:rsidP="00D5094A">
      <w:pPr>
        <w:spacing w:after="0"/>
      </w:pPr>
      <w:r>
        <w:continuationSeparator/>
      </w:r>
    </w:p>
    <w:p w14:paraId="563A7D66" w14:textId="77777777" w:rsidR="006D3E3D" w:rsidRDefault="006D3E3D"/>
    <w:p w14:paraId="1CE99CAE" w14:textId="77777777" w:rsidR="006D3E3D" w:rsidRDefault="006D3E3D"/>
  </w:footnote>
  <w:footnote w:type="continuationNotice" w:id="1">
    <w:p w14:paraId="4BF31C2F" w14:textId="77777777" w:rsidR="006D3E3D" w:rsidRDefault="006D3E3D">
      <w:pPr>
        <w:spacing w:after="0"/>
      </w:pPr>
    </w:p>
  </w:footnote>
  <w:footnote w:id="2">
    <w:p w14:paraId="0438DDB4" w14:textId="1BCE6977" w:rsidR="003D506F" w:rsidRDefault="003D506F" w:rsidP="003D506F">
      <w:pPr>
        <w:pStyle w:val="Notedebasdepage"/>
      </w:pPr>
      <w:r>
        <w:rPr>
          <w:rStyle w:val="Appelnotedebasdep"/>
        </w:rPr>
        <w:footnoteRef/>
      </w:r>
      <w:r>
        <w:t xml:space="preserve"> Au regard de la conduite systématique d</w:t>
      </w:r>
      <w:r w:rsidR="00DB2261">
        <w:t>e</w:t>
      </w:r>
      <w:r>
        <w:t xml:space="preserve"> tests financiers</w:t>
      </w:r>
    </w:p>
  </w:footnote>
  <w:footnote w:id="3">
    <w:p w14:paraId="149DF6FE" w14:textId="77777777" w:rsidR="003D506F" w:rsidRDefault="003D506F" w:rsidP="003D506F">
      <w:pPr>
        <w:pStyle w:val="Notedebasdepage"/>
      </w:pPr>
      <w:r>
        <w:rPr>
          <w:rStyle w:val="Appelnotedebasdep"/>
        </w:rPr>
        <w:footnoteRef/>
      </w:r>
      <w:r>
        <w:t xml:space="preserve"> Au regard par exemple, d’obligations ou critères de capitalisation financière</w:t>
      </w:r>
    </w:p>
  </w:footnote>
  <w:footnote w:id="4">
    <w:p w14:paraId="4206E6B6" w14:textId="67FC3C41" w:rsidR="302B9FF8" w:rsidRDefault="302B9FF8" w:rsidP="00431DD0">
      <w:pPr>
        <w:pStyle w:val="Notedebasdepage"/>
      </w:pPr>
      <w:r w:rsidRPr="302B9FF8">
        <w:rPr>
          <w:rStyle w:val="Appelnotedebasdep"/>
        </w:rPr>
        <w:footnoteRef/>
      </w:r>
      <w:r>
        <w:t xml:space="preserve"> Etant entendues comme “liées” deux entreprises lorsque (i) l’une détient directement ou par personne interposée la majorité du capital social de l’autre ou y exerce en fait le pouvoir de décision, (ii) ces deux entreprises sont placées l’une et l’autre, dans les conditions définies au (i), sous le contrôle d’une même tierce entreprise. </w:t>
      </w:r>
    </w:p>
  </w:footnote>
  <w:footnote w:id="5">
    <w:p w14:paraId="0874276C" w14:textId="374C7F8B" w:rsidR="003607F5" w:rsidRDefault="003607F5">
      <w:pPr>
        <w:pStyle w:val="Notedebasdepage"/>
      </w:pPr>
      <w:r>
        <w:rPr>
          <w:rStyle w:val="Appelnotedebasdep"/>
        </w:rPr>
        <w:footnoteRef/>
      </w:r>
      <w:r>
        <w:t xml:space="preserve"> Ici, l’approvisionnement amont est </w:t>
      </w:r>
      <w:r w:rsidR="001B37CF">
        <w:t>défini comme un approvisionnement</w:t>
      </w:r>
      <w:r w:rsidR="0078328D">
        <w:t xml:space="preserve"> pour une livraison à maturité strictement supérieure à 3 mois. </w:t>
      </w:r>
    </w:p>
  </w:footnote>
  <w:footnote w:id="6">
    <w:p w14:paraId="1C555005" w14:textId="4ED7F559" w:rsidR="00B863FA" w:rsidRDefault="00B863FA">
      <w:pPr>
        <w:pStyle w:val="Notedebasdepage"/>
      </w:pPr>
      <w:r>
        <w:rPr>
          <w:rStyle w:val="Appelnotedebasdep"/>
        </w:rPr>
        <w:footnoteRef/>
      </w:r>
      <w:r>
        <w:t xml:space="preserve"> La</w:t>
      </w:r>
      <w:r w:rsidRPr="00B863FA">
        <w:t xml:space="preserve"> maturité du produit </w:t>
      </w:r>
      <w:r w:rsidR="00D26AB0">
        <w:t>correspond au</w:t>
      </w:r>
      <w:r w:rsidRPr="00B863FA">
        <w:t xml:space="preserve"> délai entre la date d’appro</w:t>
      </w:r>
      <w:r>
        <w:t>visionnement</w:t>
      </w:r>
      <w:r w:rsidRPr="00B863FA">
        <w:t xml:space="preserve"> du produit et le premier jour de livraison de ce produit</w:t>
      </w:r>
    </w:p>
  </w:footnote>
  <w:footnote w:id="7">
    <w:p w14:paraId="493F0227" w14:textId="059CEE13" w:rsidR="00A16CF4" w:rsidRDefault="00A16CF4">
      <w:pPr>
        <w:pStyle w:val="Notedebasdepage"/>
      </w:pPr>
      <w:r>
        <w:rPr>
          <w:rStyle w:val="Appelnotedebasdep"/>
        </w:rPr>
        <w:footnoteRef/>
      </w:r>
      <w:r>
        <w:t xml:space="preserve"> Ce qui signifie notamment que les hypothèses de prévision de portefeuille </w:t>
      </w:r>
      <w:r w:rsidR="003361E3">
        <w:t xml:space="preserve">sur lesquelles le fournisseur devra se </w:t>
      </w:r>
      <w:r w:rsidR="00032645">
        <w:t>fonder</w:t>
      </w:r>
      <w:r w:rsidR="003361E3">
        <w:t xml:space="preserve"> pour les données </w:t>
      </w:r>
      <w:r w:rsidR="003361E3" w:rsidRPr="00431DD0">
        <w:rPr>
          <w:i/>
          <w:iCs/>
        </w:rPr>
        <w:t>ex-post</w:t>
      </w:r>
      <w:r w:rsidR="003361E3">
        <w:t xml:space="preserve"> sont </w:t>
      </w:r>
      <w:r w:rsidR="00137C29">
        <w:t>les</w:t>
      </w:r>
      <w:r w:rsidR="007143CE">
        <w:t xml:space="preserve"> meilleures hypothèses à date de référence ex-post.</w:t>
      </w:r>
    </w:p>
  </w:footnote>
  <w:footnote w:id="8">
    <w:p w14:paraId="3C2F82D0" w14:textId="6BB78206" w:rsidR="00276F4F" w:rsidRDefault="00276F4F">
      <w:pPr>
        <w:pStyle w:val="Notedebasdepage"/>
      </w:pPr>
      <w:r>
        <w:rPr>
          <w:rStyle w:val="Appelnotedebasdep"/>
        </w:rPr>
        <w:footnoteRef/>
      </w:r>
      <w:r>
        <w:t xml:space="preserve"> Définis comme la différence entre le</w:t>
      </w:r>
      <w:r w:rsidR="001E1610">
        <w:t xml:space="preserve">s volumes </w:t>
      </w:r>
      <w:r w:rsidR="009B71D8">
        <w:t>couverts</w:t>
      </w:r>
      <w:r w:rsidR="00C2275C">
        <w:t xml:space="preserve"> </w:t>
      </w:r>
      <w:r w:rsidR="00174B7D">
        <w:t xml:space="preserve">à </w:t>
      </w:r>
      <w:r w:rsidR="00D2394A">
        <w:t>la</w:t>
      </w:r>
      <w:r w:rsidR="00C2275C">
        <w:t xml:space="preserve"> date de référence </w:t>
      </w:r>
      <w:r w:rsidR="00174B7D">
        <w:t xml:space="preserve">sur l’ensemble des échéances futures </w:t>
      </w:r>
      <w:r w:rsidR="00C2275C">
        <w:t>mobilisés par le contrôle d’une part, et la consommation prévisionnelle associé</w:t>
      </w:r>
      <w:r w:rsidR="00174B7D">
        <w:t>e</w:t>
      </w:r>
      <w:r w:rsidR="00C2275C">
        <w:t xml:space="preserve"> aux engagements contractuels du fournisseur</w:t>
      </w:r>
      <w:r w:rsidR="00E83025" w:rsidRPr="00E83025">
        <w:t xml:space="preserve"> </w:t>
      </w:r>
      <w:r w:rsidR="00E83025">
        <w:t>à la date de référence sur l’ensemble des échéances futures</w:t>
      </w:r>
      <w:r w:rsidR="004A6B11">
        <w:t xml:space="preserve"> d’autre part.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5D419" w14:textId="52AD4042" w:rsidR="00087265" w:rsidRDefault="00D738D4" w:rsidP="00014D10">
    <w:pPr>
      <w:pStyle w:val="En-tte"/>
    </w:pPr>
    <w:r>
      <w:t>Délibération</w:t>
    </w:r>
    <w:r w:rsidR="673ED52F">
      <w:t xml:space="preserve"> n°202</w:t>
    </w:r>
    <w:r w:rsidR="004C3790">
      <w:t>6</w:t>
    </w:r>
    <w:r w:rsidR="673ED52F">
      <w:t>-</w:t>
    </w:r>
    <w:r w:rsidR="00764611">
      <w:t>122</w:t>
    </w:r>
  </w:p>
  <w:p w14:paraId="04D9ACEE" w14:textId="6EDFED66" w:rsidR="00D852AD" w:rsidRDefault="00764611" w:rsidP="00431DD0">
    <w:pPr>
      <w:spacing w:line="259" w:lineRule="auto"/>
    </w:pPr>
    <w:r w:rsidRPr="0038500C">
      <w:t>11</w:t>
    </w:r>
    <w:r w:rsidR="004C3790" w:rsidRPr="0038500C">
      <w:t xml:space="preserve"> juin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223B2" w14:textId="77777777" w:rsidR="00D5094A" w:rsidRDefault="00D5094A" w:rsidP="00014D10">
    <w:pPr>
      <w:pStyle w:val="En-tte"/>
    </w:pPr>
  </w:p>
  <w:p w14:paraId="6FF0407F" w14:textId="77777777" w:rsidR="00D5094A" w:rsidRDefault="00D5094A" w:rsidP="00014D10">
    <w:pPr>
      <w:pStyle w:val="En-tte"/>
    </w:pPr>
  </w:p>
  <w:p w14:paraId="6EE74A5C" w14:textId="77777777" w:rsidR="00B11DBB" w:rsidRDefault="00B11DBB" w:rsidP="00B11DBB"/>
  <w:p w14:paraId="3A1C9FF0" w14:textId="77777777" w:rsidR="00D5094A" w:rsidRDefault="00D5094A" w:rsidP="00B11DBB">
    <w:r>
      <w:rPr>
        <w:noProof/>
      </w:rPr>
      <w:drawing>
        <wp:anchor distT="0" distB="0" distL="114300" distR="114300" simplePos="0" relativeHeight="251658242" behindDoc="0" locked="0" layoutInCell="1" allowOverlap="1" wp14:anchorId="11CB1897" wp14:editId="377B00FB">
          <wp:simplePos x="0" y="0"/>
          <wp:positionH relativeFrom="column">
            <wp:posOffset>0</wp:posOffset>
          </wp:positionH>
          <wp:positionV relativeFrom="page">
            <wp:posOffset>448945</wp:posOffset>
          </wp:positionV>
          <wp:extent cx="2591435" cy="443230"/>
          <wp:effectExtent l="0" t="0" r="0" b="1270"/>
          <wp:wrapNone/>
          <wp:docPr id="2136887508" name="Image 2136887508" descr="Une image contenant Graphiqu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070594" name="Image 2" descr="Une image contenant Graphique, Police, capture d’écran, logo&#10;&#10;Description générée automatiquement"/>
                  <pic:cNvPicPr/>
                </pic:nvPicPr>
                <pic:blipFill rotWithShape="1">
                  <a:blip r:embed="rId1">
                    <a:extLst>
                      <a:ext uri="{28A0092B-C50C-407E-A947-70E740481C1C}">
                        <a14:useLocalDpi xmlns:a14="http://schemas.microsoft.com/office/drawing/2010/main" val="0"/>
                      </a:ext>
                    </a:extLst>
                  </a:blip>
                  <a:srcRect l="5423" t="19708" r="5379" b="20994"/>
                  <a:stretch/>
                </pic:blipFill>
                <pic:spPr bwMode="auto">
                  <a:xfrm>
                    <a:off x="0" y="0"/>
                    <a:ext cx="2591435" cy="4432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7307F0B" w14:textId="77777777" w:rsidR="00687898" w:rsidRDefault="00687898"/>
  <w:p w14:paraId="1A86C66E" w14:textId="77777777" w:rsidR="00D852AD" w:rsidRDefault="00D852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1E86C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BD9C9C54"/>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5DE9C2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08A02378"/>
    <w:lvl w:ilvl="0">
      <w:start w:val="1"/>
      <w:numFmt w:val="decimal"/>
      <w:pStyle w:val="Listenumros2"/>
      <w:lvlText w:val="%1."/>
      <w:lvlJc w:val="left"/>
      <w:pPr>
        <w:ind w:left="643" w:hanging="360"/>
      </w:pPr>
      <w:rPr>
        <w:rFonts w:hint="default"/>
      </w:rPr>
    </w:lvl>
  </w:abstractNum>
  <w:abstractNum w:abstractNumId="4" w15:restartNumberingAfterBreak="0">
    <w:nsid w:val="FFFFFF80"/>
    <w:multiLevelType w:val="singleLevel"/>
    <w:tmpl w:val="7766EEB6"/>
    <w:lvl w:ilvl="0">
      <w:start w:val="1"/>
      <w:numFmt w:val="bullet"/>
      <w:pStyle w:val="Listepuces5"/>
      <w:lvlText w:val=""/>
      <w:lvlJc w:val="left"/>
      <w:pPr>
        <w:tabs>
          <w:tab w:val="num" w:pos="1494"/>
        </w:tabs>
        <w:ind w:left="1494" w:hanging="360"/>
      </w:pPr>
      <w:rPr>
        <w:rFonts w:ascii="Symbol" w:hAnsi="Symbol" w:hint="default"/>
      </w:rPr>
    </w:lvl>
  </w:abstractNum>
  <w:abstractNum w:abstractNumId="5" w15:restartNumberingAfterBreak="0">
    <w:nsid w:val="FFFFFF81"/>
    <w:multiLevelType w:val="singleLevel"/>
    <w:tmpl w:val="B9824272"/>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D85662"/>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927AF8"/>
    <w:lvl w:ilvl="0">
      <w:start w:val="1"/>
      <w:numFmt w:val="bullet"/>
      <w:pStyle w:val="Listepuces2"/>
      <w:lvlText w:val="o"/>
      <w:lvlJc w:val="left"/>
      <w:pPr>
        <w:tabs>
          <w:tab w:val="num" w:pos="643"/>
        </w:tabs>
        <w:ind w:left="643" w:hanging="360"/>
      </w:pPr>
      <w:rPr>
        <w:rFonts w:ascii="Courier New" w:hAnsi="Courier New" w:hint="default"/>
      </w:rPr>
    </w:lvl>
  </w:abstractNum>
  <w:abstractNum w:abstractNumId="8" w15:restartNumberingAfterBreak="0">
    <w:nsid w:val="FFFFFF88"/>
    <w:multiLevelType w:val="singleLevel"/>
    <w:tmpl w:val="D94E46BC"/>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96AFD2C"/>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3601B18"/>
    <w:multiLevelType w:val="hybridMultilevel"/>
    <w:tmpl w:val="9ECED3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4165FEA"/>
    <w:multiLevelType w:val="hybridMultilevel"/>
    <w:tmpl w:val="9DDEBC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4C47550"/>
    <w:multiLevelType w:val="hybridMultilevel"/>
    <w:tmpl w:val="A2AE6C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7241524"/>
    <w:multiLevelType w:val="hybridMultilevel"/>
    <w:tmpl w:val="95F2F1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724194A"/>
    <w:multiLevelType w:val="hybridMultilevel"/>
    <w:tmpl w:val="EA4E447E"/>
    <w:lvl w:ilvl="0" w:tplc="101C87A2">
      <w:start w:val="1"/>
      <w:numFmt w:val="lowerLetter"/>
      <w:lvlText w:val="%1."/>
      <w:lvlJc w:val="left"/>
      <w:pPr>
        <w:tabs>
          <w:tab w:val="num" w:pos="720"/>
        </w:tabs>
        <w:ind w:left="720" w:hanging="360"/>
      </w:pPr>
    </w:lvl>
    <w:lvl w:ilvl="1" w:tplc="CCEAD82E">
      <w:start w:val="1"/>
      <w:numFmt w:val="lowerLetter"/>
      <w:lvlText w:val="%2."/>
      <w:lvlJc w:val="left"/>
      <w:pPr>
        <w:tabs>
          <w:tab w:val="num" w:pos="1440"/>
        </w:tabs>
        <w:ind w:left="1440" w:hanging="360"/>
      </w:pPr>
    </w:lvl>
    <w:lvl w:ilvl="2" w:tplc="81C84FDE">
      <w:start w:val="1"/>
      <w:numFmt w:val="decimal"/>
      <w:lvlText w:val="%3."/>
      <w:lvlJc w:val="left"/>
      <w:pPr>
        <w:ind w:left="2160" w:hanging="360"/>
      </w:pPr>
      <w:rPr>
        <w:rFonts w:hint="default"/>
      </w:rPr>
    </w:lvl>
    <w:lvl w:ilvl="3" w:tplc="EFFE849A">
      <w:start w:val="1"/>
      <w:numFmt w:val="lowerRoman"/>
      <w:lvlText w:val="(%4)"/>
      <w:lvlJc w:val="left"/>
      <w:pPr>
        <w:ind w:left="3240" w:hanging="720"/>
      </w:pPr>
      <w:rPr>
        <w:rFonts w:hint="default"/>
      </w:rPr>
    </w:lvl>
    <w:lvl w:ilvl="4" w:tplc="EE98BE50" w:tentative="1">
      <w:start w:val="1"/>
      <w:numFmt w:val="lowerLetter"/>
      <w:lvlText w:val="%5."/>
      <w:lvlJc w:val="left"/>
      <w:pPr>
        <w:tabs>
          <w:tab w:val="num" w:pos="3600"/>
        </w:tabs>
        <w:ind w:left="3600" w:hanging="360"/>
      </w:pPr>
    </w:lvl>
    <w:lvl w:ilvl="5" w:tplc="B1EE6C44" w:tentative="1">
      <w:start w:val="1"/>
      <w:numFmt w:val="lowerLetter"/>
      <w:lvlText w:val="%6."/>
      <w:lvlJc w:val="left"/>
      <w:pPr>
        <w:tabs>
          <w:tab w:val="num" w:pos="4320"/>
        </w:tabs>
        <w:ind w:left="4320" w:hanging="360"/>
      </w:pPr>
    </w:lvl>
    <w:lvl w:ilvl="6" w:tplc="F0CA3CDE" w:tentative="1">
      <w:start w:val="1"/>
      <w:numFmt w:val="lowerLetter"/>
      <w:lvlText w:val="%7."/>
      <w:lvlJc w:val="left"/>
      <w:pPr>
        <w:tabs>
          <w:tab w:val="num" w:pos="5040"/>
        </w:tabs>
        <w:ind w:left="5040" w:hanging="360"/>
      </w:pPr>
    </w:lvl>
    <w:lvl w:ilvl="7" w:tplc="69D0F246" w:tentative="1">
      <w:start w:val="1"/>
      <w:numFmt w:val="lowerLetter"/>
      <w:lvlText w:val="%8."/>
      <w:lvlJc w:val="left"/>
      <w:pPr>
        <w:tabs>
          <w:tab w:val="num" w:pos="5760"/>
        </w:tabs>
        <w:ind w:left="5760" w:hanging="360"/>
      </w:pPr>
    </w:lvl>
    <w:lvl w:ilvl="8" w:tplc="0ADCF028" w:tentative="1">
      <w:start w:val="1"/>
      <w:numFmt w:val="lowerLetter"/>
      <w:lvlText w:val="%9."/>
      <w:lvlJc w:val="left"/>
      <w:pPr>
        <w:tabs>
          <w:tab w:val="num" w:pos="6480"/>
        </w:tabs>
        <w:ind w:left="6480" w:hanging="360"/>
      </w:pPr>
    </w:lvl>
  </w:abstractNum>
  <w:abstractNum w:abstractNumId="15" w15:restartNumberingAfterBreak="0">
    <w:nsid w:val="07660AB5"/>
    <w:multiLevelType w:val="hybridMultilevel"/>
    <w:tmpl w:val="43D4935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Symbol" w:hAnsi="Symbol" w:hint="default"/>
      </w:rPr>
    </w:lvl>
    <w:lvl w:ilvl="3" w:tplc="040C000B">
      <w:start w:val="1"/>
      <w:numFmt w:val="bullet"/>
      <w:lvlText w:val=""/>
      <w:lvlJc w:val="left"/>
      <w:pPr>
        <w:ind w:left="1440" w:hanging="360"/>
      </w:pPr>
      <w:rPr>
        <w:rFonts w:ascii="Wingdings" w:hAnsi="Wingdings"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6" w15:restartNumberingAfterBreak="0">
    <w:nsid w:val="07951C82"/>
    <w:multiLevelType w:val="hybridMultilevel"/>
    <w:tmpl w:val="ACF60BE4"/>
    <w:lvl w:ilvl="0" w:tplc="71B6BED2">
      <w:start w:val="1"/>
      <w:numFmt w:val="bullet"/>
      <w:lvlText w:val="•"/>
      <w:lvlJc w:val="left"/>
      <w:pPr>
        <w:tabs>
          <w:tab w:val="num" w:pos="360"/>
        </w:tabs>
        <w:ind w:left="360" w:hanging="360"/>
      </w:pPr>
      <w:rPr>
        <w:rFonts w:ascii="Arial" w:hAnsi="Arial" w:hint="default"/>
      </w:rPr>
    </w:lvl>
    <w:lvl w:ilvl="1" w:tplc="0DE456F6">
      <w:numFmt w:val="bullet"/>
      <w:lvlText w:val="•"/>
      <w:lvlJc w:val="left"/>
      <w:pPr>
        <w:tabs>
          <w:tab w:val="num" w:pos="1080"/>
        </w:tabs>
        <w:ind w:left="1080" w:hanging="360"/>
      </w:pPr>
      <w:rPr>
        <w:rFonts w:ascii="Arial" w:hAnsi="Arial" w:hint="default"/>
      </w:rPr>
    </w:lvl>
    <w:lvl w:ilvl="2" w:tplc="A6D00D12" w:tentative="1">
      <w:start w:val="1"/>
      <w:numFmt w:val="bullet"/>
      <w:lvlText w:val="•"/>
      <w:lvlJc w:val="left"/>
      <w:pPr>
        <w:tabs>
          <w:tab w:val="num" w:pos="1800"/>
        </w:tabs>
        <w:ind w:left="1800" w:hanging="360"/>
      </w:pPr>
      <w:rPr>
        <w:rFonts w:ascii="Arial" w:hAnsi="Arial" w:hint="default"/>
      </w:rPr>
    </w:lvl>
    <w:lvl w:ilvl="3" w:tplc="BD8A125A" w:tentative="1">
      <w:start w:val="1"/>
      <w:numFmt w:val="bullet"/>
      <w:lvlText w:val="•"/>
      <w:lvlJc w:val="left"/>
      <w:pPr>
        <w:tabs>
          <w:tab w:val="num" w:pos="2520"/>
        </w:tabs>
        <w:ind w:left="2520" w:hanging="360"/>
      </w:pPr>
      <w:rPr>
        <w:rFonts w:ascii="Arial" w:hAnsi="Arial" w:hint="default"/>
      </w:rPr>
    </w:lvl>
    <w:lvl w:ilvl="4" w:tplc="6064651E" w:tentative="1">
      <w:start w:val="1"/>
      <w:numFmt w:val="bullet"/>
      <w:lvlText w:val="•"/>
      <w:lvlJc w:val="left"/>
      <w:pPr>
        <w:tabs>
          <w:tab w:val="num" w:pos="3240"/>
        </w:tabs>
        <w:ind w:left="3240" w:hanging="360"/>
      </w:pPr>
      <w:rPr>
        <w:rFonts w:ascii="Arial" w:hAnsi="Arial" w:hint="default"/>
      </w:rPr>
    </w:lvl>
    <w:lvl w:ilvl="5" w:tplc="C55CCC9A" w:tentative="1">
      <w:start w:val="1"/>
      <w:numFmt w:val="bullet"/>
      <w:lvlText w:val="•"/>
      <w:lvlJc w:val="left"/>
      <w:pPr>
        <w:tabs>
          <w:tab w:val="num" w:pos="3960"/>
        </w:tabs>
        <w:ind w:left="3960" w:hanging="360"/>
      </w:pPr>
      <w:rPr>
        <w:rFonts w:ascii="Arial" w:hAnsi="Arial" w:hint="default"/>
      </w:rPr>
    </w:lvl>
    <w:lvl w:ilvl="6" w:tplc="E3A86A9A" w:tentative="1">
      <w:start w:val="1"/>
      <w:numFmt w:val="bullet"/>
      <w:lvlText w:val="•"/>
      <w:lvlJc w:val="left"/>
      <w:pPr>
        <w:tabs>
          <w:tab w:val="num" w:pos="4680"/>
        </w:tabs>
        <w:ind w:left="4680" w:hanging="360"/>
      </w:pPr>
      <w:rPr>
        <w:rFonts w:ascii="Arial" w:hAnsi="Arial" w:hint="default"/>
      </w:rPr>
    </w:lvl>
    <w:lvl w:ilvl="7" w:tplc="ED6E3EA6" w:tentative="1">
      <w:start w:val="1"/>
      <w:numFmt w:val="bullet"/>
      <w:lvlText w:val="•"/>
      <w:lvlJc w:val="left"/>
      <w:pPr>
        <w:tabs>
          <w:tab w:val="num" w:pos="5400"/>
        </w:tabs>
        <w:ind w:left="5400" w:hanging="360"/>
      </w:pPr>
      <w:rPr>
        <w:rFonts w:ascii="Arial" w:hAnsi="Arial" w:hint="default"/>
      </w:rPr>
    </w:lvl>
    <w:lvl w:ilvl="8" w:tplc="EF9CDE0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07CF36EC"/>
    <w:multiLevelType w:val="hybridMultilevel"/>
    <w:tmpl w:val="5FC6A50C"/>
    <w:lvl w:ilvl="0" w:tplc="27625E82">
      <w:start w:val="1"/>
      <w:numFmt w:val="decimal"/>
      <w:lvlText w:val="%1."/>
      <w:lvlJc w:val="left"/>
      <w:pPr>
        <w:ind w:left="1020" w:hanging="360"/>
      </w:pPr>
    </w:lvl>
    <w:lvl w:ilvl="1" w:tplc="F5D48B22">
      <w:start w:val="1"/>
      <w:numFmt w:val="decimal"/>
      <w:lvlText w:val="%2."/>
      <w:lvlJc w:val="left"/>
      <w:pPr>
        <w:ind w:left="1020" w:hanging="360"/>
      </w:pPr>
    </w:lvl>
    <w:lvl w:ilvl="2" w:tplc="35C6752E">
      <w:start w:val="1"/>
      <w:numFmt w:val="decimal"/>
      <w:lvlText w:val="%3."/>
      <w:lvlJc w:val="left"/>
      <w:pPr>
        <w:ind w:left="1020" w:hanging="360"/>
      </w:pPr>
    </w:lvl>
    <w:lvl w:ilvl="3" w:tplc="C5F4C6E8">
      <w:start w:val="1"/>
      <w:numFmt w:val="decimal"/>
      <w:lvlText w:val="%4."/>
      <w:lvlJc w:val="left"/>
      <w:pPr>
        <w:ind w:left="1020" w:hanging="360"/>
      </w:pPr>
    </w:lvl>
    <w:lvl w:ilvl="4" w:tplc="2916818E">
      <w:start w:val="1"/>
      <w:numFmt w:val="decimal"/>
      <w:lvlText w:val="%5."/>
      <w:lvlJc w:val="left"/>
      <w:pPr>
        <w:ind w:left="1020" w:hanging="360"/>
      </w:pPr>
    </w:lvl>
    <w:lvl w:ilvl="5" w:tplc="99EC91DE">
      <w:start w:val="1"/>
      <w:numFmt w:val="decimal"/>
      <w:lvlText w:val="%6."/>
      <w:lvlJc w:val="left"/>
      <w:pPr>
        <w:ind w:left="1020" w:hanging="360"/>
      </w:pPr>
    </w:lvl>
    <w:lvl w:ilvl="6" w:tplc="8B049940">
      <w:start w:val="1"/>
      <w:numFmt w:val="decimal"/>
      <w:lvlText w:val="%7."/>
      <w:lvlJc w:val="left"/>
      <w:pPr>
        <w:ind w:left="1020" w:hanging="360"/>
      </w:pPr>
    </w:lvl>
    <w:lvl w:ilvl="7" w:tplc="D082B5D2">
      <w:start w:val="1"/>
      <w:numFmt w:val="decimal"/>
      <w:lvlText w:val="%8."/>
      <w:lvlJc w:val="left"/>
      <w:pPr>
        <w:ind w:left="1020" w:hanging="360"/>
      </w:pPr>
    </w:lvl>
    <w:lvl w:ilvl="8" w:tplc="CC14CB14">
      <w:start w:val="1"/>
      <w:numFmt w:val="decimal"/>
      <w:lvlText w:val="%9."/>
      <w:lvlJc w:val="left"/>
      <w:pPr>
        <w:ind w:left="1020" w:hanging="360"/>
      </w:pPr>
    </w:lvl>
  </w:abstractNum>
  <w:abstractNum w:abstractNumId="18" w15:restartNumberingAfterBreak="0">
    <w:nsid w:val="08189178"/>
    <w:multiLevelType w:val="hybridMultilevel"/>
    <w:tmpl w:val="6D466F44"/>
    <w:lvl w:ilvl="0" w:tplc="EBEEA5FA">
      <w:start w:val="1"/>
      <w:numFmt w:val="bullet"/>
      <w:lvlText w:val="-"/>
      <w:lvlJc w:val="left"/>
      <w:pPr>
        <w:ind w:left="1068" w:hanging="360"/>
      </w:pPr>
      <w:rPr>
        <w:rFonts w:ascii="Aptos" w:hAnsi="Aptos" w:hint="default"/>
      </w:rPr>
    </w:lvl>
    <w:lvl w:ilvl="1" w:tplc="F03CB57C">
      <w:start w:val="1"/>
      <w:numFmt w:val="bullet"/>
      <w:lvlText w:val="o"/>
      <w:lvlJc w:val="left"/>
      <w:pPr>
        <w:ind w:left="1788" w:hanging="360"/>
      </w:pPr>
      <w:rPr>
        <w:rFonts w:ascii="Courier New" w:hAnsi="Courier New" w:hint="default"/>
      </w:rPr>
    </w:lvl>
    <w:lvl w:ilvl="2" w:tplc="E780A514">
      <w:start w:val="1"/>
      <w:numFmt w:val="bullet"/>
      <w:lvlText w:val=""/>
      <w:lvlJc w:val="left"/>
      <w:pPr>
        <w:ind w:left="2508" w:hanging="360"/>
      </w:pPr>
      <w:rPr>
        <w:rFonts w:ascii="Wingdings" w:hAnsi="Wingdings" w:hint="default"/>
      </w:rPr>
    </w:lvl>
    <w:lvl w:ilvl="3" w:tplc="A328D09E">
      <w:start w:val="1"/>
      <w:numFmt w:val="bullet"/>
      <w:lvlText w:val=""/>
      <w:lvlJc w:val="left"/>
      <w:pPr>
        <w:ind w:left="3228" w:hanging="360"/>
      </w:pPr>
      <w:rPr>
        <w:rFonts w:ascii="Symbol" w:hAnsi="Symbol" w:hint="default"/>
      </w:rPr>
    </w:lvl>
    <w:lvl w:ilvl="4" w:tplc="E7F0AA46">
      <w:start w:val="1"/>
      <w:numFmt w:val="bullet"/>
      <w:lvlText w:val="o"/>
      <w:lvlJc w:val="left"/>
      <w:pPr>
        <w:ind w:left="3948" w:hanging="360"/>
      </w:pPr>
      <w:rPr>
        <w:rFonts w:ascii="Courier New" w:hAnsi="Courier New" w:hint="default"/>
      </w:rPr>
    </w:lvl>
    <w:lvl w:ilvl="5" w:tplc="DCAE92D2">
      <w:start w:val="1"/>
      <w:numFmt w:val="bullet"/>
      <w:lvlText w:val=""/>
      <w:lvlJc w:val="left"/>
      <w:pPr>
        <w:ind w:left="4668" w:hanging="360"/>
      </w:pPr>
      <w:rPr>
        <w:rFonts w:ascii="Wingdings" w:hAnsi="Wingdings" w:hint="default"/>
      </w:rPr>
    </w:lvl>
    <w:lvl w:ilvl="6" w:tplc="13ECB3B6">
      <w:start w:val="1"/>
      <w:numFmt w:val="bullet"/>
      <w:lvlText w:val=""/>
      <w:lvlJc w:val="left"/>
      <w:pPr>
        <w:ind w:left="5388" w:hanging="360"/>
      </w:pPr>
      <w:rPr>
        <w:rFonts w:ascii="Symbol" w:hAnsi="Symbol" w:hint="default"/>
      </w:rPr>
    </w:lvl>
    <w:lvl w:ilvl="7" w:tplc="D57810A2">
      <w:start w:val="1"/>
      <w:numFmt w:val="bullet"/>
      <w:lvlText w:val="o"/>
      <w:lvlJc w:val="left"/>
      <w:pPr>
        <w:ind w:left="6108" w:hanging="360"/>
      </w:pPr>
      <w:rPr>
        <w:rFonts w:ascii="Courier New" w:hAnsi="Courier New" w:hint="default"/>
      </w:rPr>
    </w:lvl>
    <w:lvl w:ilvl="8" w:tplc="86921D26">
      <w:start w:val="1"/>
      <w:numFmt w:val="bullet"/>
      <w:lvlText w:val=""/>
      <w:lvlJc w:val="left"/>
      <w:pPr>
        <w:ind w:left="6828" w:hanging="360"/>
      </w:pPr>
      <w:rPr>
        <w:rFonts w:ascii="Wingdings" w:hAnsi="Wingdings" w:hint="default"/>
      </w:rPr>
    </w:lvl>
  </w:abstractNum>
  <w:abstractNum w:abstractNumId="19" w15:restartNumberingAfterBreak="0">
    <w:nsid w:val="08751A36"/>
    <w:multiLevelType w:val="hybridMultilevel"/>
    <w:tmpl w:val="9462FC8C"/>
    <w:lvl w:ilvl="0" w:tplc="4196995C">
      <w:start w:val="1"/>
      <w:numFmt w:val="decimal"/>
      <w:lvlText w:val="%1."/>
      <w:lvlJc w:val="left"/>
      <w:pPr>
        <w:ind w:left="1020" w:hanging="360"/>
      </w:pPr>
    </w:lvl>
    <w:lvl w:ilvl="1" w:tplc="E41CB88A">
      <w:start w:val="1"/>
      <w:numFmt w:val="decimal"/>
      <w:lvlText w:val="%2."/>
      <w:lvlJc w:val="left"/>
      <w:pPr>
        <w:ind w:left="1020" w:hanging="360"/>
      </w:pPr>
    </w:lvl>
    <w:lvl w:ilvl="2" w:tplc="1A720F02">
      <w:start w:val="1"/>
      <w:numFmt w:val="decimal"/>
      <w:lvlText w:val="%3."/>
      <w:lvlJc w:val="left"/>
      <w:pPr>
        <w:ind w:left="1020" w:hanging="360"/>
      </w:pPr>
    </w:lvl>
    <w:lvl w:ilvl="3" w:tplc="2F869DAA">
      <w:start w:val="1"/>
      <w:numFmt w:val="decimal"/>
      <w:lvlText w:val="%4."/>
      <w:lvlJc w:val="left"/>
      <w:pPr>
        <w:ind w:left="1020" w:hanging="360"/>
      </w:pPr>
    </w:lvl>
    <w:lvl w:ilvl="4" w:tplc="14F2CD8E">
      <w:start w:val="1"/>
      <w:numFmt w:val="decimal"/>
      <w:lvlText w:val="%5."/>
      <w:lvlJc w:val="left"/>
      <w:pPr>
        <w:ind w:left="1020" w:hanging="360"/>
      </w:pPr>
    </w:lvl>
    <w:lvl w:ilvl="5" w:tplc="533EC664">
      <w:start w:val="1"/>
      <w:numFmt w:val="decimal"/>
      <w:lvlText w:val="%6."/>
      <w:lvlJc w:val="left"/>
      <w:pPr>
        <w:ind w:left="1020" w:hanging="360"/>
      </w:pPr>
    </w:lvl>
    <w:lvl w:ilvl="6" w:tplc="714E15E0">
      <w:start w:val="1"/>
      <w:numFmt w:val="decimal"/>
      <w:lvlText w:val="%7."/>
      <w:lvlJc w:val="left"/>
      <w:pPr>
        <w:ind w:left="1020" w:hanging="360"/>
      </w:pPr>
    </w:lvl>
    <w:lvl w:ilvl="7" w:tplc="BBAE7F90">
      <w:start w:val="1"/>
      <w:numFmt w:val="decimal"/>
      <w:lvlText w:val="%8."/>
      <w:lvlJc w:val="left"/>
      <w:pPr>
        <w:ind w:left="1020" w:hanging="360"/>
      </w:pPr>
    </w:lvl>
    <w:lvl w:ilvl="8" w:tplc="200A7DC2">
      <w:start w:val="1"/>
      <w:numFmt w:val="decimal"/>
      <w:lvlText w:val="%9."/>
      <w:lvlJc w:val="left"/>
      <w:pPr>
        <w:ind w:left="1020" w:hanging="360"/>
      </w:pPr>
    </w:lvl>
  </w:abstractNum>
  <w:abstractNum w:abstractNumId="20" w15:restartNumberingAfterBreak="0">
    <w:nsid w:val="08DB6D53"/>
    <w:multiLevelType w:val="hybridMultilevel"/>
    <w:tmpl w:val="CFDCE2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0B144058"/>
    <w:multiLevelType w:val="hybridMultilevel"/>
    <w:tmpl w:val="86A4E3E2"/>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2" w15:restartNumberingAfterBreak="0">
    <w:nsid w:val="0C647A1F"/>
    <w:multiLevelType w:val="hybridMultilevel"/>
    <w:tmpl w:val="98265550"/>
    <w:lvl w:ilvl="0" w:tplc="3A0AE31A">
      <w:start w:val="1"/>
      <w:numFmt w:val="bullet"/>
      <w:lvlText w:val="•"/>
      <w:lvlJc w:val="left"/>
      <w:pPr>
        <w:tabs>
          <w:tab w:val="num" w:pos="720"/>
        </w:tabs>
        <w:ind w:left="720" w:hanging="360"/>
      </w:pPr>
      <w:rPr>
        <w:rFonts w:ascii="Arial" w:hAnsi="Arial" w:hint="default"/>
      </w:rPr>
    </w:lvl>
    <w:lvl w:ilvl="1" w:tplc="0562BFC0" w:tentative="1">
      <w:start w:val="1"/>
      <w:numFmt w:val="bullet"/>
      <w:lvlText w:val="•"/>
      <w:lvlJc w:val="left"/>
      <w:pPr>
        <w:tabs>
          <w:tab w:val="num" w:pos="1440"/>
        </w:tabs>
        <w:ind w:left="1440" w:hanging="360"/>
      </w:pPr>
      <w:rPr>
        <w:rFonts w:ascii="Arial" w:hAnsi="Arial" w:hint="default"/>
      </w:rPr>
    </w:lvl>
    <w:lvl w:ilvl="2" w:tplc="A24A91DC" w:tentative="1">
      <w:start w:val="1"/>
      <w:numFmt w:val="bullet"/>
      <w:lvlText w:val="•"/>
      <w:lvlJc w:val="left"/>
      <w:pPr>
        <w:tabs>
          <w:tab w:val="num" w:pos="2160"/>
        </w:tabs>
        <w:ind w:left="2160" w:hanging="360"/>
      </w:pPr>
      <w:rPr>
        <w:rFonts w:ascii="Arial" w:hAnsi="Arial" w:hint="default"/>
      </w:rPr>
    </w:lvl>
    <w:lvl w:ilvl="3" w:tplc="31DC1B20" w:tentative="1">
      <w:start w:val="1"/>
      <w:numFmt w:val="bullet"/>
      <w:lvlText w:val="•"/>
      <w:lvlJc w:val="left"/>
      <w:pPr>
        <w:tabs>
          <w:tab w:val="num" w:pos="2880"/>
        </w:tabs>
        <w:ind w:left="2880" w:hanging="360"/>
      </w:pPr>
      <w:rPr>
        <w:rFonts w:ascii="Arial" w:hAnsi="Arial" w:hint="default"/>
      </w:rPr>
    </w:lvl>
    <w:lvl w:ilvl="4" w:tplc="19D0C1C2" w:tentative="1">
      <w:start w:val="1"/>
      <w:numFmt w:val="bullet"/>
      <w:lvlText w:val="•"/>
      <w:lvlJc w:val="left"/>
      <w:pPr>
        <w:tabs>
          <w:tab w:val="num" w:pos="3600"/>
        </w:tabs>
        <w:ind w:left="3600" w:hanging="360"/>
      </w:pPr>
      <w:rPr>
        <w:rFonts w:ascii="Arial" w:hAnsi="Arial" w:hint="default"/>
      </w:rPr>
    </w:lvl>
    <w:lvl w:ilvl="5" w:tplc="D7AC967C" w:tentative="1">
      <w:start w:val="1"/>
      <w:numFmt w:val="bullet"/>
      <w:lvlText w:val="•"/>
      <w:lvlJc w:val="left"/>
      <w:pPr>
        <w:tabs>
          <w:tab w:val="num" w:pos="4320"/>
        </w:tabs>
        <w:ind w:left="4320" w:hanging="360"/>
      </w:pPr>
      <w:rPr>
        <w:rFonts w:ascii="Arial" w:hAnsi="Arial" w:hint="default"/>
      </w:rPr>
    </w:lvl>
    <w:lvl w:ilvl="6" w:tplc="AE9AFBE0" w:tentative="1">
      <w:start w:val="1"/>
      <w:numFmt w:val="bullet"/>
      <w:lvlText w:val="•"/>
      <w:lvlJc w:val="left"/>
      <w:pPr>
        <w:tabs>
          <w:tab w:val="num" w:pos="5040"/>
        </w:tabs>
        <w:ind w:left="5040" w:hanging="360"/>
      </w:pPr>
      <w:rPr>
        <w:rFonts w:ascii="Arial" w:hAnsi="Arial" w:hint="default"/>
      </w:rPr>
    </w:lvl>
    <w:lvl w:ilvl="7" w:tplc="6D8ACC88" w:tentative="1">
      <w:start w:val="1"/>
      <w:numFmt w:val="bullet"/>
      <w:lvlText w:val="•"/>
      <w:lvlJc w:val="left"/>
      <w:pPr>
        <w:tabs>
          <w:tab w:val="num" w:pos="5760"/>
        </w:tabs>
        <w:ind w:left="5760" w:hanging="360"/>
      </w:pPr>
      <w:rPr>
        <w:rFonts w:ascii="Arial" w:hAnsi="Arial" w:hint="default"/>
      </w:rPr>
    </w:lvl>
    <w:lvl w:ilvl="8" w:tplc="F95C094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F142867"/>
    <w:multiLevelType w:val="hybridMultilevel"/>
    <w:tmpl w:val="56AC66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0F2477C2"/>
    <w:multiLevelType w:val="hybridMultilevel"/>
    <w:tmpl w:val="586CB4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0E2E5C"/>
    <w:multiLevelType w:val="hybridMultilevel"/>
    <w:tmpl w:val="8E1430F6"/>
    <w:lvl w:ilvl="0" w:tplc="D5B0772A">
      <w:start w:val="1"/>
      <w:numFmt w:val="decimal"/>
      <w:lvlText w:val="%1."/>
      <w:lvlJc w:val="left"/>
      <w:pPr>
        <w:ind w:left="1020" w:hanging="360"/>
      </w:pPr>
    </w:lvl>
    <w:lvl w:ilvl="1" w:tplc="F46C7E9C">
      <w:start w:val="1"/>
      <w:numFmt w:val="decimal"/>
      <w:lvlText w:val="%2."/>
      <w:lvlJc w:val="left"/>
      <w:pPr>
        <w:ind w:left="1020" w:hanging="360"/>
      </w:pPr>
    </w:lvl>
    <w:lvl w:ilvl="2" w:tplc="BB4E3134">
      <w:start w:val="1"/>
      <w:numFmt w:val="decimal"/>
      <w:lvlText w:val="%3."/>
      <w:lvlJc w:val="left"/>
      <w:pPr>
        <w:ind w:left="1020" w:hanging="360"/>
      </w:pPr>
    </w:lvl>
    <w:lvl w:ilvl="3" w:tplc="F4BEB8C6">
      <w:start w:val="1"/>
      <w:numFmt w:val="decimal"/>
      <w:lvlText w:val="%4."/>
      <w:lvlJc w:val="left"/>
      <w:pPr>
        <w:ind w:left="1020" w:hanging="360"/>
      </w:pPr>
    </w:lvl>
    <w:lvl w:ilvl="4" w:tplc="37CCFB7C">
      <w:start w:val="1"/>
      <w:numFmt w:val="decimal"/>
      <w:lvlText w:val="%5."/>
      <w:lvlJc w:val="left"/>
      <w:pPr>
        <w:ind w:left="1020" w:hanging="360"/>
      </w:pPr>
    </w:lvl>
    <w:lvl w:ilvl="5" w:tplc="5BE83EA8">
      <w:start w:val="1"/>
      <w:numFmt w:val="decimal"/>
      <w:lvlText w:val="%6."/>
      <w:lvlJc w:val="left"/>
      <w:pPr>
        <w:ind w:left="1020" w:hanging="360"/>
      </w:pPr>
    </w:lvl>
    <w:lvl w:ilvl="6" w:tplc="25605284">
      <w:start w:val="1"/>
      <w:numFmt w:val="decimal"/>
      <w:lvlText w:val="%7."/>
      <w:lvlJc w:val="left"/>
      <w:pPr>
        <w:ind w:left="1020" w:hanging="360"/>
      </w:pPr>
    </w:lvl>
    <w:lvl w:ilvl="7" w:tplc="FE3855A6">
      <w:start w:val="1"/>
      <w:numFmt w:val="decimal"/>
      <w:lvlText w:val="%8."/>
      <w:lvlJc w:val="left"/>
      <w:pPr>
        <w:ind w:left="1020" w:hanging="360"/>
      </w:pPr>
    </w:lvl>
    <w:lvl w:ilvl="8" w:tplc="5946445A">
      <w:start w:val="1"/>
      <w:numFmt w:val="decimal"/>
      <w:lvlText w:val="%9."/>
      <w:lvlJc w:val="left"/>
      <w:pPr>
        <w:ind w:left="1020" w:hanging="360"/>
      </w:pPr>
    </w:lvl>
  </w:abstractNum>
  <w:abstractNum w:abstractNumId="26" w15:restartNumberingAfterBreak="0">
    <w:nsid w:val="10B827B2"/>
    <w:multiLevelType w:val="hybridMultilevel"/>
    <w:tmpl w:val="62745D9E"/>
    <w:lvl w:ilvl="0" w:tplc="B6EE5AA8">
      <w:start w:val="1"/>
      <w:numFmt w:val="decimal"/>
      <w:lvlText w:val="Principe n°%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27" w15:restartNumberingAfterBreak="0">
    <w:nsid w:val="11FB6E8C"/>
    <w:multiLevelType w:val="hybridMultilevel"/>
    <w:tmpl w:val="A406E4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2429538"/>
    <w:multiLevelType w:val="multilevel"/>
    <w:tmpl w:val="FFFFFFFF"/>
    <w:lvl w:ilvl="0">
      <w:start w:val="1"/>
      <w:numFmt w:val="decimal"/>
      <w:lvlText w:val="%1."/>
      <w:lvlJc w:val="left"/>
      <w:pPr>
        <w:ind w:left="432" w:hanging="432"/>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3FF5404"/>
    <w:multiLevelType w:val="hybridMultilevel"/>
    <w:tmpl w:val="B348753E"/>
    <w:lvl w:ilvl="0" w:tplc="4FE8CD32">
      <w:start w:val="1"/>
      <w:numFmt w:val="bullet"/>
      <w:lvlText w:val="•"/>
      <w:lvlJc w:val="left"/>
      <w:pPr>
        <w:tabs>
          <w:tab w:val="num" w:pos="720"/>
        </w:tabs>
        <w:ind w:left="720" w:hanging="360"/>
      </w:pPr>
      <w:rPr>
        <w:rFonts w:ascii="Arial" w:hAnsi="Arial" w:hint="default"/>
      </w:rPr>
    </w:lvl>
    <w:lvl w:ilvl="1" w:tplc="ADB0D64A" w:tentative="1">
      <w:start w:val="1"/>
      <w:numFmt w:val="bullet"/>
      <w:lvlText w:val="•"/>
      <w:lvlJc w:val="left"/>
      <w:pPr>
        <w:tabs>
          <w:tab w:val="num" w:pos="1440"/>
        </w:tabs>
        <w:ind w:left="1440" w:hanging="360"/>
      </w:pPr>
      <w:rPr>
        <w:rFonts w:ascii="Arial" w:hAnsi="Arial" w:hint="default"/>
      </w:rPr>
    </w:lvl>
    <w:lvl w:ilvl="2" w:tplc="74C8A76E" w:tentative="1">
      <w:start w:val="1"/>
      <w:numFmt w:val="bullet"/>
      <w:lvlText w:val="•"/>
      <w:lvlJc w:val="left"/>
      <w:pPr>
        <w:tabs>
          <w:tab w:val="num" w:pos="2160"/>
        </w:tabs>
        <w:ind w:left="2160" w:hanging="360"/>
      </w:pPr>
      <w:rPr>
        <w:rFonts w:ascii="Arial" w:hAnsi="Arial" w:hint="default"/>
      </w:rPr>
    </w:lvl>
    <w:lvl w:ilvl="3" w:tplc="AC105154" w:tentative="1">
      <w:start w:val="1"/>
      <w:numFmt w:val="bullet"/>
      <w:lvlText w:val="•"/>
      <w:lvlJc w:val="left"/>
      <w:pPr>
        <w:tabs>
          <w:tab w:val="num" w:pos="2880"/>
        </w:tabs>
        <w:ind w:left="2880" w:hanging="360"/>
      </w:pPr>
      <w:rPr>
        <w:rFonts w:ascii="Arial" w:hAnsi="Arial" w:hint="default"/>
      </w:rPr>
    </w:lvl>
    <w:lvl w:ilvl="4" w:tplc="81169226" w:tentative="1">
      <w:start w:val="1"/>
      <w:numFmt w:val="bullet"/>
      <w:lvlText w:val="•"/>
      <w:lvlJc w:val="left"/>
      <w:pPr>
        <w:tabs>
          <w:tab w:val="num" w:pos="3600"/>
        </w:tabs>
        <w:ind w:left="3600" w:hanging="360"/>
      </w:pPr>
      <w:rPr>
        <w:rFonts w:ascii="Arial" w:hAnsi="Arial" w:hint="default"/>
      </w:rPr>
    </w:lvl>
    <w:lvl w:ilvl="5" w:tplc="26643E04" w:tentative="1">
      <w:start w:val="1"/>
      <w:numFmt w:val="bullet"/>
      <w:lvlText w:val="•"/>
      <w:lvlJc w:val="left"/>
      <w:pPr>
        <w:tabs>
          <w:tab w:val="num" w:pos="4320"/>
        </w:tabs>
        <w:ind w:left="4320" w:hanging="360"/>
      </w:pPr>
      <w:rPr>
        <w:rFonts w:ascii="Arial" w:hAnsi="Arial" w:hint="default"/>
      </w:rPr>
    </w:lvl>
    <w:lvl w:ilvl="6" w:tplc="71A0608A" w:tentative="1">
      <w:start w:val="1"/>
      <w:numFmt w:val="bullet"/>
      <w:lvlText w:val="•"/>
      <w:lvlJc w:val="left"/>
      <w:pPr>
        <w:tabs>
          <w:tab w:val="num" w:pos="5040"/>
        </w:tabs>
        <w:ind w:left="5040" w:hanging="360"/>
      </w:pPr>
      <w:rPr>
        <w:rFonts w:ascii="Arial" w:hAnsi="Arial" w:hint="default"/>
      </w:rPr>
    </w:lvl>
    <w:lvl w:ilvl="7" w:tplc="E6283D72" w:tentative="1">
      <w:start w:val="1"/>
      <w:numFmt w:val="bullet"/>
      <w:lvlText w:val="•"/>
      <w:lvlJc w:val="left"/>
      <w:pPr>
        <w:tabs>
          <w:tab w:val="num" w:pos="5760"/>
        </w:tabs>
        <w:ind w:left="5760" w:hanging="360"/>
      </w:pPr>
      <w:rPr>
        <w:rFonts w:ascii="Arial" w:hAnsi="Arial" w:hint="default"/>
      </w:rPr>
    </w:lvl>
    <w:lvl w:ilvl="8" w:tplc="974CCF9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09A811"/>
    <w:multiLevelType w:val="hybridMultilevel"/>
    <w:tmpl w:val="4E848AF2"/>
    <w:lvl w:ilvl="0" w:tplc="1226A0E0">
      <w:start w:val="1"/>
      <w:numFmt w:val="bullet"/>
      <w:lvlText w:val="-"/>
      <w:lvlJc w:val="left"/>
      <w:pPr>
        <w:ind w:left="1068" w:hanging="360"/>
      </w:pPr>
      <w:rPr>
        <w:rFonts w:ascii="Aptos" w:hAnsi="Aptos" w:hint="default"/>
      </w:rPr>
    </w:lvl>
    <w:lvl w:ilvl="1" w:tplc="2CFC24DC">
      <w:start w:val="1"/>
      <w:numFmt w:val="bullet"/>
      <w:lvlText w:val="o"/>
      <w:lvlJc w:val="left"/>
      <w:pPr>
        <w:ind w:left="1788" w:hanging="360"/>
      </w:pPr>
      <w:rPr>
        <w:rFonts w:ascii="Courier New" w:hAnsi="Courier New" w:hint="default"/>
      </w:rPr>
    </w:lvl>
    <w:lvl w:ilvl="2" w:tplc="54DAB1FA">
      <w:start w:val="1"/>
      <w:numFmt w:val="bullet"/>
      <w:lvlText w:val=""/>
      <w:lvlJc w:val="left"/>
      <w:pPr>
        <w:ind w:left="2508" w:hanging="360"/>
      </w:pPr>
      <w:rPr>
        <w:rFonts w:ascii="Wingdings" w:hAnsi="Wingdings" w:hint="default"/>
      </w:rPr>
    </w:lvl>
    <w:lvl w:ilvl="3" w:tplc="3C3677E4">
      <w:start w:val="1"/>
      <w:numFmt w:val="bullet"/>
      <w:lvlText w:val=""/>
      <w:lvlJc w:val="left"/>
      <w:pPr>
        <w:ind w:left="3228" w:hanging="360"/>
      </w:pPr>
      <w:rPr>
        <w:rFonts w:ascii="Symbol" w:hAnsi="Symbol" w:hint="default"/>
      </w:rPr>
    </w:lvl>
    <w:lvl w:ilvl="4" w:tplc="D93A35DE">
      <w:start w:val="1"/>
      <w:numFmt w:val="bullet"/>
      <w:lvlText w:val="o"/>
      <w:lvlJc w:val="left"/>
      <w:pPr>
        <w:ind w:left="3948" w:hanging="360"/>
      </w:pPr>
      <w:rPr>
        <w:rFonts w:ascii="Courier New" w:hAnsi="Courier New" w:hint="default"/>
      </w:rPr>
    </w:lvl>
    <w:lvl w:ilvl="5" w:tplc="FC421F82">
      <w:start w:val="1"/>
      <w:numFmt w:val="bullet"/>
      <w:lvlText w:val=""/>
      <w:lvlJc w:val="left"/>
      <w:pPr>
        <w:ind w:left="4668" w:hanging="360"/>
      </w:pPr>
      <w:rPr>
        <w:rFonts w:ascii="Wingdings" w:hAnsi="Wingdings" w:hint="default"/>
      </w:rPr>
    </w:lvl>
    <w:lvl w:ilvl="6" w:tplc="47C843D0">
      <w:start w:val="1"/>
      <w:numFmt w:val="bullet"/>
      <w:lvlText w:val=""/>
      <w:lvlJc w:val="left"/>
      <w:pPr>
        <w:ind w:left="5388" w:hanging="360"/>
      </w:pPr>
      <w:rPr>
        <w:rFonts w:ascii="Symbol" w:hAnsi="Symbol" w:hint="default"/>
      </w:rPr>
    </w:lvl>
    <w:lvl w:ilvl="7" w:tplc="D4A8D26A">
      <w:start w:val="1"/>
      <w:numFmt w:val="bullet"/>
      <w:lvlText w:val="o"/>
      <w:lvlJc w:val="left"/>
      <w:pPr>
        <w:ind w:left="6108" w:hanging="360"/>
      </w:pPr>
      <w:rPr>
        <w:rFonts w:ascii="Courier New" w:hAnsi="Courier New" w:hint="default"/>
      </w:rPr>
    </w:lvl>
    <w:lvl w:ilvl="8" w:tplc="BF4C4C1E">
      <w:start w:val="1"/>
      <w:numFmt w:val="bullet"/>
      <w:lvlText w:val=""/>
      <w:lvlJc w:val="left"/>
      <w:pPr>
        <w:ind w:left="6828" w:hanging="360"/>
      </w:pPr>
      <w:rPr>
        <w:rFonts w:ascii="Wingdings" w:hAnsi="Wingdings" w:hint="default"/>
      </w:rPr>
    </w:lvl>
  </w:abstractNum>
  <w:abstractNum w:abstractNumId="31" w15:restartNumberingAfterBreak="0">
    <w:nsid w:val="1B3319F3"/>
    <w:multiLevelType w:val="hybridMultilevel"/>
    <w:tmpl w:val="5274921C"/>
    <w:lvl w:ilvl="0" w:tplc="CF78B88A">
      <w:start w:val="1"/>
      <w:numFmt w:val="decimal"/>
      <w:lvlText w:val="%1."/>
      <w:lvlJc w:val="left"/>
      <w:pPr>
        <w:ind w:left="1020" w:hanging="360"/>
      </w:pPr>
    </w:lvl>
    <w:lvl w:ilvl="1" w:tplc="3EEC5688">
      <w:start w:val="1"/>
      <w:numFmt w:val="decimal"/>
      <w:lvlText w:val="%2."/>
      <w:lvlJc w:val="left"/>
      <w:pPr>
        <w:ind w:left="1020" w:hanging="360"/>
      </w:pPr>
    </w:lvl>
    <w:lvl w:ilvl="2" w:tplc="1C4C1368">
      <w:start w:val="1"/>
      <w:numFmt w:val="decimal"/>
      <w:lvlText w:val="%3."/>
      <w:lvlJc w:val="left"/>
      <w:pPr>
        <w:ind w:left="1020" w:hanging="360"/>
      </w:pPr>
    </w:lvl>
    <w:lvl w:ilvl="3" w:tplc="D8F61066">
      <w:start w:val="1"/>
      <w:numFmt w:val="decimal"/>
      <w:lvlText w:val="%4."/>
      <w:lvlJc w:val="left"/>
      <w:pPr>
        <w:ind w:left="1020" w:hanging="360"/>
      </w:pPr>
    </w:lvl>
    <w:lvl w:ilvl="4" w:tplc="886894EC">
      <w:start w:val="1"/>
      <w:numFmt w:val="decimal"/>
      <w:lvlText w:val="%5."/>
      <w:lvlJc w:val="left"/>
      <w:pPr>
        <w:ind w:left="1020" w:hanging="360"/>
      </w:pPr>
    </w:lvl>
    <w:lvl w:ilvl="5" w:tplc="84CE4D16">
      <w:start w:val="1"/>
      <w:numFmt w:val="decimal"/>
      <w:lvlText w:val="%6."/>
      <w:lvlJc w:val="left"/>
      <w:pPr>
        <w:ind w:left="1020" w:hanging="360"/>
      </w:pPr>
    </w:lvl>
    <w:lvl w:ilvl="6" w:tplc="DB0AA280">
      <w:start w:val="1"/>
      <w:numFmt w:val="decimal"/>
      <w:lvlText w:val="%7."/>
      <w:lvlJc w:val="left"/>
      <w:pPr>
        <w:ind w:left="1020" w:hanging="360"/>
      </w:pPr>
    </w:lvl>
    <w:lvl w:ilvl="7" w:tplc="A2B6BD04">
      <w:start w:val="1"/>
      <w:numFmt w:val="decimal"/>
      <w:lvlText w:val="%8."/>
      <w:lvlJc w:val="left"/>
      <w:pPr>
        <w:ind w:left="1020" w:hanging="360"/>
      </w:pPr>
    </w:lvl>
    <w:lvl w:ilvl="8" w:tplc="BD5052AA">
      <w:start w:val="1"/>
      <w:numFmt w:val="decimal"/>
      <w:lvlText w:val="%9."/>
      <w:lvlJc w:val="left"/>
      <w:pPr>
        <w:ind w:left="1020" w:hanging="360"/>
      </w:pPr>
    </w:lvl>
  </w:abstractNum>
  <w:abstractNum w:abstractNumId="32" w15:restartNumberingAfterBreak="0">
    <w:nsid w:val="1BB05FFC"/>
    <w:multiLevelType w:val="hybridMultilevel"/>
    <w:tmpl w:val="24BE16A8"/>
    <w:lvl w:ilvl="0" w:tplc="7A8A923E">
      <w:start w:val="1"/>
      <w:numFmt w:val="decimal"/>
      <w:lvlText w:val="%1."/>
      <w:lvlJc w:val="left"/>
      <w:pPr>
        <w:ind w:left="1020" w:hanging="360"/>
      </w:pPr>
    </w:lvl>
    <w:lvl w:ilvl="1" w:tplc="C2B8BA2A">
      <w:start w:val="1"/>
      <w:numFmt w:val="decimal"/>
      <w:lvlText w:val="%2."/>
      <w:lvlJc w:val="left"/>
      <w:pPr>
        <w:ind w:left="1020" w:hanging="360"/>
      </w:pPr>
    </w:lvl>
    <w:lvl w:ilvl="2" w:tplc="6C50B5FC">
      <w:start w:val="1"/>
      <w:numFmt w:val="decimal"/>
      <w:lvlText w:val="%3."/>
      <w:lvlJc w:val="left"/>
      <w:pPr>
        <w:ind w:left="1020" w:hanging="360"/>
      </w:pPr>
    </w:lvl>
    <w:lvl w:ilvl="3" w:tplc="2ACE8C0A">
      <w:start w:val="1"/>
      <w:numFmt w:val="decimal"/>
      <w:lvlText w:val="%4."/>
      <w:lvlJc w:val="left"/>
      <w:pPr>
        <w:ind w:left="1020" w:hanging="360"/>
      </w:pPr>
    </w:lvl>
    <w:lvl w:ilvl="4" w:tplc="FD7ABBB8">
      <w:start w:val="1"/>
      <w:numFmt w:val="decimal"/>
      <w:lvlText w:val="%5."/>
      <w:lvlJc w:val="left"/>
      <w:pPr>
        <w:ind w:left="1020" w:hanging="360"/>
      </w:pPr>
    </w:lvl>
    <w:lvl w:ilvl="5" w:tplc="35C4FFFA">
      <w:start w:val="1"/>
      <w:numFmt w:val="decimal"/>
      <w:lvlText w:val="%6."/>
      <w:lvlJc w:val="left"/>
      <w:pPr>
        <w:ind w:left="1020" w:hanging="360"/>
      </w:pPr>
    </w:lvl>
    <w:lvl w:ilvl="6" w:tplc="B1687F5C">
      <w:start w:val="1"/>
      <w:numFmt w:val="decimal"/>
      <w:lvlText w:val="%7."/>
      <w:lvlJc w:val="left"/>
      <w:pPr>
        <w:ind w:left="1020" w:hanging="360"/>
      </w:pPr>
    </w:lvl>
    <w:lvl w:ilvl="7" w:tplc="62D4F7BE">
      <w:start w:val="1"/>
      <w:numFmt w:val="decimal"/>
      <w:lvlText w:val="%8."/>
      <w:lvlJc w:val="left"/>
      <w:pPr>
        <w:ind w:left="1020" w:hanging="360"/>
      </w:pPr>
    </w:lvl>
    <w:lvl w:ilvl="8" w:tplc="D1D2ED1C">
      <w:start w:val="1"/>
      <w:numFmt w:val="decimal"/>
      <w:lvlText w:val="%9."/>
      <w:lvlJc w:val="left"/>
      <w:pPr>
        <w:ind w:left="1020" w:hanging="360"/>
      </w:pPr>
    </w:lvl>
  </w:abstractNum>
  <w:abstractNum w:abstractNumId="33" w15:restartNumberingAfterBreak="0">
    <w:nsid w:val="1E2F1643"/>
    <w:multiLevelType w:val="hybridMultilevel"/>
    <w:tmpl w:val="69ECEA68"/>
    <w:lvl w:ilvl="0" w:tplc="B9CAFEE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1ECA6E42"/>
    <w:multiLevelType w:val="hybridMultilevel"/>
    <w:tmpl w:val="39DAF0E2"/>
    <w:lvl w:ilvl="0" w:tplc="FFFFFFFF">
      <w:start w:val="1"/>
      <w:numFmt w:val="bullet"/>
      <w:lvlText w:val=""/>
      <w:lvlJc w:val="left"/>
      <w:pPr>
        <w:ind w:left="720" w:hanging="360"/>
      </w:pPr>
      <w:rPr>
        <w:rFonts w:ascii="Symbol" w:hAnsi="Symbol" w:hint="default"/>
      </w:rPr>
    </w:lvl>
    <w:lvl w:ilvl="1" w:tplc="040C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1FDB39B1"/>
    <w:multiLevelType w:val="hybridMultilevel"/>
    <w:tmpl w:val="B4325CEC"/>
    <w:lvl w:ilvl="0" w:tplc="55BA16BE">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0F5F6E6"/>
    <w:multiLevelType w:val="hybridMultilevel"/>
    <w:tmpl w:val="E45E6FC8"/>
    <w:lvl w:ilvl="0" w:tplc="B0427824">
      <w:start w:val="1"/>
      <w:numFmt w:val="bullet"/>
      <w:lvlText w:val="-"/>
      <w:lvlJc w:val="left"/>
      <w:pPr>
        <w:ind w:left="1068" w:hanging="360"/>
      </w:pPr>
      <w:rPr>
        <w:rFonts w:ascii="Aptos" w:hAnsi="Aptos" w:hint="default"/>
      </w:rPr>
    </w:lvl>
    <w:lvl w:ilvl="1" w:tplc="80E07AB8">
      <w:start w:val="1"/>
      <w:numFmt w:val="bullet"/>
      <w:lvlText w:val="o"/>
      <w:lvlJc w:val="left"/>
      <w:pPr>
        <w:ind w:left="1788" w:hanging="360"/>
      </w:pPr>
      <w:rPr>
        <w:rFonts w:ascii="Courier New" w:hAnsi="Courier New" w:hint="default"/>
      </w:rPr>
    </w:lvl>
    <w:lvl w:ilvl="2" w:tplc="75FA8520">
      <w:start w:val="1"/>
      <w:numFmt w:val="bullet"/>
      <w:lvlText w:val=""/>
      <w:lvlJc w:val="left"/>
      <w:pPr>
        <w:ind w:left="2508" w:hanging="360"/>
      </w:pPr>
      <w:rPr>
        <w:rFonts w:ascii="Wingdings" w:hAnsi="Wingdings" w:hint="default"/>
      </w:rPr>
    </w:lvl>
    <w:lvl w:ilvl="3" w:tplc="94389484">
      <w:start w:val="1"/>
      <w:numFmt w:val="bullet"/>
      <w:lvlText w:val=""/>
      <w:lvlJc w:val="left"/>
      <w:pPr>
        <w:ind w:left="3228" w:hanging="360"/>
      </w:pPr>
      <w:rPr>
        <w:rFonts w:ascii="Symbol" w:hAnsi="Symbol" w:hint="default"/>
      </w:rPr>
    </w:lvl>
    <w:lvl w:ilvl="4" w:tplc="F2347464">
      <w:start w:val="1"/>
      <w:numFmt w:val="bullet"/>
      <w:lvlText w:val="o"/>
      <w:lvlJc w:val="left"/>
      <w:pPr>
        <w:ind w:left="3948" w:hanging="360"/>
      </w:pPr>
      <w:rPr>
        <w:rFonts w:ascii="Courier New" w:hAnsi="Courier New" w:hint="default"/>
      </w:rPr>
    </w:lvl>
    <w:lvl w:ilvl="5" w:tplc="B3788A74">
      <w:start w:val="1"/>
      <w:numFmt w:val="bullet"/>
      <w:lvlText w:val=""/>
      <w:lvlJc w:val="left"/>
      <w:pPr>
        <w:ind w:left="4668" w:hanging="360"/>
      </w:pPr>
      <w:rPr>
        <w:rFonts w:ascii="Wingdings" w:hAnsi="Wingdings" w:hint="default"/>
      </w:rPr>
    </w:lvl>
    <w:lvl w:ilvl="6" w:tplc="254AFA7C">
      <w:start w:val="1"/>
      <w:numFmt w:val="bullet"/>
      <w:lvlText w:val=""/>
      <w:lvlJc w:val="left"/>
      <w:pPr>
        <w:ind w:left="5388" w:hanging="360"/>
      </w:pPr>
      <w:rPr>
        <w:rFonts w:ascii="Symbol" w:hAnsi="Symbol" w:hint="default"/>
      </w:rPr>
    </w:lvl>
    <w:lvl w:ilvl="7" w:tplc="2FFA128E">
      <w:start w:val="1"/>
      <w:numFmt w:val="bullet"/>
      <w:lvlText w:val="o"/>
      <w:lvlJc w:val="left"/>
      <w:pPr>
        <w:ind w:left="6108" w:hanging="360"/>
      </w:pPr>
      <w:rPr>
        <w:rFonts w:ascii="Courier New" w:hAnsi="Courier New" w:hint="default"/>
      </w:rPr>
    </w:lvl>
    <w:lvl w:ilvl="8" w:tplc="263E7A94">
      <w:start w:val="1"/>
      <w:numFmt w:val="bullet"/>
      <w:lvlText w:val=""/>
      <w:lvlJc w:val="left"/>
      <w:pPr>
        <w:ind w:left="6828" w:hanging="360"/>
      </w:pPr>
      <w:rPr>
        <w:rFonts w:ascii="Wingdings" w:hAnsi="Wingdings" w:hint="default"/>
      </w:rPr>
    </w:lvl>
  </w:abstractNum>
  <w:abstractNum w:abstractNumId="37" w15:restartNumberingAfterBreak="0">
    <w:nsid w:val="23470F99"/>
    <w:multiLevelType w:val="hybridMultilevel"/>
    <w:tmpl w:val="648238F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23A77E4D"/>
    <w:multiLevelType w:val="multilevel"/>
    <w:tmpl w:val="48A410B6"/>
    <w:lvl w:ilvl="0">
      <w:start w:val="1"/>
      <w:numFmt w:val="decimal"/>
      <w:pStyle w:val="Titre1"/>
      <w:lvlText w:val="%1."/>
      <w:lvlJc w:val="left"/>
      <w:pPr>
        <w:ind w:left="432" w:hanging="432"/>
      </w:pPr>
      <w:rPr>
        <w:rFonts w:ascii="Arial" w:hAnsi="Arial" w:hint="default"/>
        <w:b/>
        <w:i w:val="0"/>
        <w:sz w:val="28"/>
      </w:rPr>
    </w:lvl>
    <w:lvl w:ilvl="1">
      <w:start w:val="1"/>
      <w:numFmt w:val="decimal"/>
      <w:pStyle w:val="Titre2"/>
      <w:lvlText w:val="%1.%2."/>
      <w:lvlJc w:val="left"/>
      <w:pPr>
        <w:ind w:left="1001" w:hanging="576"/>
      </w:pPr>
      <w:rPr>
        <w:rFonts w:ascii="Arial" w:hAnsi="Arial" w:hint="default"/>
        <w:b/>
        <w:i w:val="0"/>
        <w:sz w:val="24"/>
      </w:rPr>
    </w:lvl>
    <w:lvl w:ilvl="2">
      <w:start w:val="1"/>
      <w:numFmt w:val="decimal"/>
      <w:pStyle w:val="Titre3"/>
      <w:lvlText w:val="%1.%2.%3."/>
      <w:lvlJc w:val="left"/>
      <w:pPr>
        <w:ind w:left="720" w:hanging="720"/>
      </w:pPr>
      <w:rPr>
        <w:rFonts w:ascii="Arial" w:hAnsi="Arial" w:hint="default"/>
        <w:b/>
        <w:i w:val="0"/>
        <w:sz w:val="22"/>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9" w15:restartNumberingAfterBreak="0">
    <w:nsid w:val="240D4CA2"/>
    <w:multiLevelType w:val="hybridMultilevel"/>
    <w:tmpl w:val="7A6E3144"/>
    <w:lvl w:ilvl="0" w:tplc="040C0001">
      <w:start w:val="1"/>
      <w:numFmt w:val="bullet"/>
      <w:lvlText w:val=""/>
      <w:lvlJc w:val="left"/>
      <w:pPr>
        <w:ind w:left="774" w:hanging="360"/>
      </w:pPr>
      <w:rPr>
        <w:rFonts w:ascii="Symbol" w:hAnsi="Symbol"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40" w15:restartNumberingAfterBreak="0">
    <w:nsid w:val="245A43A7"/>
    <w:multiLevelType w:val="hybridMultilevel"/>
    <w:tmpl w:val="23C0D0BE"/>
    <w:lvl w:ilvl="0" w:tplc="97C6F388">
      <w:start w:val="1"/>
      <w:numFmt w:val="decimal"/>
      <w:lvlText w:val="%1."/>
      <w:lvlJc w:val="left"/>
      <w:pPr>
        <w:ind w:left="1020" w:hanging="360"/>
      </w:pPr>
    </w:lvl>
    <w:lvl w:ilvl="1" w:tplc="6FB87FE4">
      <w:start w:val="1"/>
      <w:numFmt w:val="decimal"/>
      <w:lvlText w:val="%2."/>
      <w:lvlJc w:val="left"/>
      <w:pPr>
        <w:ind w:left="1020" w:hanging="360"/>
      </w:pPr>
    </w:lvl>
    <w:lvl w:ilvl="2" w:tplc="F07C6F32">
      <w:start w:val="1"/>
      <w:numFmt w:val="decimal"/>
      <w:lvlText w:val="%3."/>
      <w:lvlJc w:val="left"/>
      <w:pPr>
        <w:ind w:left="1020" w:hanging="360"/>
      </w:pPr>
    </w:lvl>
    <w:lvl w:ilvl="3" w:tplc="4E06B27C">
      <w:start w:val="1"/>
      <w:numFmt w:val="decimal"/>
      <w:lvlText w:val="%4."/>
      <w:lvlJc w:val="left"/>
      <w:pPr>
        <w:ind w:left="1020" w:hanging="360"/>
      </w:pPr>
    </w:lvl>
    <w:lvl w:ilvl="4" w:tplc="C7EAFD3C">
      <w:start w:val="1"/>
      <w:numFmt w:val="decimal"/>
      <w:lvlText w:val="%5."/>
      <w:lvlJc w:val="left"/>
      <w:pPr>
        <w:ind w:left="1020" w:hanging="360"/>
      </w:pPr>
    </w:lvl>
    <w:lvl w:ilvl="5" w:tplc="6A46675A">
      <w:start w:val="1"/>
      <w:numFmt w:val="decimal"/>
      <w:lvlText w:val="%6."/>
      <w:lvlJc w:val="left"/>
      <w:pPr>
        <w:ind w:left="1020" w:hanging="360"/>
      </w:pPr>
    </w:lvl>
    <w:lvl w:ilvl="6" w:tplc="6958B0C0">
      <w:start w:val="1"/>
      <w:numFmt w:val="decimal"/>
      <w:lvlText w:val="%7."/>
      <w:lvlJc w:val="left"/>
      <w:pPr>
        <w:ind w:left="1020" w:hanging="360"/>
      </w:pPr>
    </w:lvl>
    <w:lvl w:ilvl="7" w:tplc="4CEEC5B6">
      <w:start w:val="1"/>
      <w:numFmt w:val="decimal"/>
      <w:lvlText w:val="%8."/>
      <w:lvlJc w:val="left"/>
      <w:pPr>
        <w:ind w:left="1020" w:hanging="360"/>
      </w:pPr>
    </w:lvl>
    <w:lvl w:ilvl="8" w:tplc="76AAB3F4">
      <w:start w:val="1"/>
      <w:numFmt w:val="decimal"/>
      <w:lvlText w:val="%9."/>
      <w:lvlJc w:val="left"/>
      <w:pPr>
        <w:ind w:left="1020" w:hanging="360"/>
      </w:pPr>
    </w:lvl>
  </w:abstractNum>
  <w:abstractNum w:abstractNumId="41" w15:restartNumberingAfterBreak="0">
    <w:nsid w:val="2511CC51"/>
    <w:multiLevelType w:val="multilevel"/>
    <w:tmpl w:val="FFFFFFFF"/>
    <w:lvl w:ilvl="0">
      <w:start w:val="1"/>
      <w:numFmt w:val="decimal"/>
      <w:lvlText w:val="%1."/>
      <w:lvlJc w:val="left"/>
      <w:pPr>
        <w:ind w:left="432" w:hanging="432"/>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61526B2"/>
    <w:multiLevelType w:val="hybridMultilevel"/>
    <w:tmpl w:val="673E2C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276F1306"/>
    <w:multiLevelType w:val="hybridMultilevel"/>
    <w:tmpl w:val="EC24C648"/>
    <w:lvl w:ilvl="0" w:tplc="343C2DC0">
      <w:start w:val="1"/>
      <w:numFmt w:val="decimal"/>
      <w:lvlText w:val="%1."/>
      <w:lvlJc w:val="left"/>
      <w:pPr>
        <w:ind w:left="1020" w:hanging="360"/>
      </w:pPr>
    </w:lvl>
    <w:lvl w:ilvl="1" w:tplc="9874FEE4">
      <w:start w:val="1"/>
      <w:numFmt w:val="decimal"/>
      <w:lvlText w:val="%2."/>
      <w:lvlJc w:val="left"/>
      <w:pPr>
        <w:ind w:left="1020" w:hanging="360"/>
      </w:pPr>
    </w:lvl>
    <w:lvl w:ilvl="2" w:tplc="2F2C07D4">
      <w:start w:val="1"/>
      <w:numFmt w:val="decimal"/>
      <w:lvlText w:val="%3."/>
      <w:lvlJc w:val="left"/>
      <w:pPr>
        <w:ind w:left="1020" w:hanging="360"/>
      </w:pPr>
    </w:lvl>
    <w:lvl w:ilvl="3" w:tplc="8E803156">
      <w:start w:val="1"/>
      <w:numFmt w:val="decimal"/>
      <w:lvlText w:val="%4."/>
      <w:lvlJc w:val="left"/>
      <w:pPr>
        <w:ind w:left="1020" w:hanging="360"/>
      </w:pPr>
    </w:lvl>
    <w:lvl w:ilvl="4" w:tplc="0DBE9A3E">
      <w:start w:val="1"/>
      <w:numFmt w:val="decimal"/>
      <w:lvlText w:val="%5."/>
      <w:lvlJc w:val="left"/>
      <w:pPr>
        <w:ind w:left="1020" w:hanging="360"/>
      </w:pPr>
    </w:lvl>
    <w:lvl w:ilvl="5" w:tplc="CC126B7E">
      <w:start w:val="1"/>
      <w:numFmt w:val="decimal"/>
      <w:lvlText w:val="%6."/>
      <w:lvlJc w:val="left"/>
      <w:pPr>
        <w:ind w:left="1020" w:hanging="360"/>
      </w:pPr>
    </w:lvl>
    <w:lvl w:ilvl="6" w:tplc="43E063B2">
      <w:start w:val="1"/>
      <w:numFmt w:val="decimal"/>
      <w:lvlText w:val="%7."/>
      <w:lvlJc w:val="left"/>
      <w:pPr>
        <w:ind w:left="1020" w:hanging="360"/>
      </w:pPr>
    </w:lvl>
    <w:lvl w:ilvl="7" w:tplc="28140C96">
      <w:start w:val="1"/>
      <w:numFmt w:val="decimal"/>
      <w:lvlText w:val="%8."/>
      <w:lvlJc w:val="left"/>
      <w:pPr>
        <w:ind w:left="1020" w:hanging="360"/>
      </w:pPr>
    </w:lvl>
    <w:lvl w:ilvl="8" w:tplc="38FEB334">
      <w:start w:val="1"/>
      <w:numFmt w:val="decimal"/>
      <w:lvlText w:val="%9."/>
      <w:lvlJc w:val="left"/>
      <w:pPr>
        <w:ind w:left="1020" w:hanging="360"/>
      </w:pPr>
    </w:lvl>
  </w:abstractNum>
  <w:abstractNum w:abstractNumId="44" w15:restartNumberingAfterBreak="0">
    <w:nsid w:val="28C9591F"/>
    <w:multiLevelType w:val="hybridMultilevel"/>
    <w:tmpl w:val="914A56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29264767"/>
    <w:multiLevelType w:val="hybridMultilevel"/>
    <w:tmpl w:val="1C369488"/>
    <w:lvl w:ilvl="0" w:tplc="7E1C7DFE">
      <w:start w:val="3"/>
      <w:numFmt w:val="bullet"/>
      <w:lvlText w:val="-"/>
      <w:lvlJc w:val="left"/>
      <w:pPr>
        <w:ind w:left="1440" w:hanging="360"/>
      </w:pPr>
      <w:rPr>
        <w:rFonts w:ascii="Arial" w:eastAsiaTheme="minorHAnsi"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6" w15:restartNumberingAfterBreak="0">
    <w:nsid w:val="2C32255E"/>
    <w:multiLevelType w:val="hybridMultilevel"/>
    <w:tmpl w:val="95C2AF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2CA15424"/>
    <w:multiLevelType w:val="hybridMultilevel"/>
    <w:tmpl w:val="5302F236"/>
    <w:lvl w:ilvl="0" w:tplc="8738F074">
      <w:start w:val="1"/>
      <w:numFmt w:val="decimal"/>
      <w:lvlText w:val="%1."/>
      <w:lvlJc w:val="left"/>
      <w:pPr>
        <w:ind w:left="1020" w:hanging="360"/>
      </w:pPr>
    </w:lvl>
    <w:lvl w:ilvl="1" w:tplc="2DB625B6">
      <w:start w:val="1"/>
      <w:numFmt w:val="decimal"/>
      <w:lvlText w:val="%2."/>
      <w:lvlJc w:val="left"/>
      <w:pPr>
        <w:ind w:left="1020" w:hanging="360"/>
      </w:pPr>
    </w:lvl>
    <w:lvl w:ilvl="2" w:tplc="FC981642">
      <w:start w:val="1"/>
      <w:numFmt w:val="decimal"/>
      <w:lvlText w:val="%3."/>
      <w:lvlJc w:val="left"/>
      <w:pPr>
        <w:ind w:left="1020" w:hanging="360"/>
      </w:pPr>
    </w:lvl>
    <w:lvl w:ilvl="3" w:tplc="561CCD90">
      <w:start w:val="1"/>
      <w:numFmt w:val="decimal"/>
      <w:lvlText w:val="%4."/>
      <w:lvlJc w:val="left"/>
      <w:pPr>
        <w:ind w:left="1020" w:hanging="360"/>
      </w:pPr>
    </w:lvl>
    <w:lvl w:ilvl="4" w:tplc="95F8D598">
      <w:start w:val="1"/>
      <w:numFmt w:val="decimal"/>
      <w:lvlText w:val="%5."/>
      <w:lvlJc w:val="left"/>
      <w:pPr>
        <w:ind w:left="1020" w:hanging="360"/>
      </w:pPr>
    </w:lvl>
    <w:lvl w:ilvl="5" w:tplc="DABA954A">
      <w:start w:val="1"/>
      <w:numFmt w:val="decimal"/>
      <w:lvlText w:val="%6."/>
      <w:lvlJc w:val="left"/>
      <w:pPr>
        <w:ind w:left="1020" w:hanging="360"/>
      </w:pPr>
    </w:lvl>
    <w:lvl w:ilvl="6" w:tplc="D6E6CABE">
      <w:start w:val="1"/>
      <w:numFmt w:val="decimal"/>
      <w:lvlText w:val="%7."/>
      <w:lvlJc w:val="left"/>
      <w:pPr>
        <w:ind w:left="1020" w:hanging="360"/>
      </w:pPr>
    </w:lvl>
    <w:lvl w:ilvl="7" w:tplc="775C8ED4">
      <w:start w:val="1"/>
      <w:numFmt w:val="decimal"/>
      <w:lvlText w:val="%8."/>
      <w:lvlJc w:val="left"/>
      <w:pPr>
        <w:ind w:left="1020" w:hanging="360"/>
      </w:pPr>
    </w:lvl>
    <w:lvl w:ilvl="8" w:tplc="F80803FA">
      <w:start w:val="1"/>
      <w:numFmt w:val="decimal"/>
      <w:lvlText w:val="%9."/>
      <w:lvlJc w:val="left"/>
      <w:pPr>
        <w:ind w:left="1020" w:hanging="360"/>
      </w:pPr>
    </w:lvl>
  </w:abstractNum>
  <w:abstractNum w:abstractNumId="48" w15:restartNumberingAfterBreak="0">
    <w:nsid w:val="2EC731EA"/>
    <w:multiLevelType w:val="hybridMultilevel"/>
    <w:tmpl w:val="46825E5A"/>
    <w:lvl w:ilvl="0" w:tplc="28500A5C">
      <w:start w:val="1"/>
      <w:numFmt w:val="bullet"/>
      <w:lvlText w:val="-"/>
      <w:lvlJc w:val="left"/>
      <w:pPr>
        <w:ind w:left="1068" w:hanging="360"/>
      </w:pPr>
      <w:rPr>
        <w:rFonts w:ascii="Aptos" w:hAnsi="Aptos" w:hint="default"/>
      </w:rPr>
    </w:lvl>
    <w:lvl w:ilvl="1" w:tplc="E1D69000">
      <w:start w:val="1"/>
      <w:numFmt w:val="bullet"/>
      <w:lvlText w:val="o"/>
      <w:lvlJc w:val="left"/>
      <w:pPr>
        <w:ind w:left="1788" w:hanging="360"/>
      </w:pPr>
      <w:rPr>
        <w:rFonts w:ascii="Courier New" w:hAnsi="Courier New" w:hint="default"/>
      </w:rPr>
    </w:lvl>
    <w:lvl w:ilvl="2" w:tplc="FB327230">
      <w:start w:val="1"/>
      <w:numFmt w:val="bullet"/>
      <w:lvlText w:val=""/>
      <w:lvlJc w:val="left"/>
      <w:pPr>
        <w:ind w:left="2508" w:hanging="360"/>
      </w:pPr>
      <w:rPr>
        <w:rFonts w:ascii="Wingdings" w:hAnsi="Wingdings" w:hint="default"/>
      </w:rPr>
    </w:lvl>
    <w:lvl w:ilvl="3" w:tplc="2C0E8BEC">
      <w:start w:val="1"/>
      <w:numFmt w:val="bullet"/>
      <w:lvlText w:val=""/>
      <w:lvlJc w:val="left"/>
      <w:pPr>
        <w:ind w:left="3228" w:hanging="360"/>
      </w:pPr>
      <w:rPr>
        <w:rFonts w:ascii="Symbol" w:hAnsi="Symbol" w:hint="default"/>
      </w:rPr>
    </w:lvl>
    <w:lvl w:ilvl="4" w:tplc="74A2E91C">
      <w:start w:val="1"/>
      <w:numFmt w:val="bullet"/>
      <w:lvlText w:val="o"/>
      <w:lvlJc w:val="left"/>
      <w:pPr>
        <w:ind w:left="3948" w:hanging="360"/>
      </w:pPr>
      <w:rPr>
        <w:rFonts w:ascii="Courier New" w:hAnsi="Courier New" w:hint="default"/>
      </w:rPr>
    </w:lvl>
    <w:lvl w:ilvl="5" w:tplc="6BA647A6">
      <w:start w:val="1"/>
      <w:numFmt w:val="bullet"/>
      <w:lvlText w:val=""/>
      <w:lvlJc w:val="left"/>
      <w:pPr>
        <w:ind w:left="4668" w:hanging="360"/>
      </w:pPr>
      <w:rPr>
        <w:rFonts w:ascii="Wingdings" w:hAnsi="Wingdings" w:hint="default"/>
      </w:rPr>
    </w:lvl>
    <w:lvl w:ilvl="6" w:tplc="1A266FAA">
      <w:start w:val="1"/>
      <w:numFmt w:val="bullet"/>
      <w:lvlText w:val=""/>
      <w:lvlJc w:val="left"/>
      <w:pPr>
        <w:ind w:left="5388" w:hanging="360"/>
      </w:pPr>
      <w:rPr>
        <w:rFonts w:ascii="Symbol" w:hAnsi="Symbol" w:hint="default"/>
      </w:rPr>
    </w:lvl>
    <w:lvl w:ilvl="7" w:tplc="69FE9CEA">
      <w:start w:val="1"/>
      <w:numFmt w:val="bullet"/>
      <w:lvlText w:val="o"/>
      <w:lvlJc w:val="left"/>
      <w:pPr>
        <w:ind w:left="6108" w:hanging="360"/>
      </w:pPr>
      <w:rPr>
        <w:rFonts w:ascii="Courier New" w:hAnsi="Courier New" w:hint="default"/>
      </w:rPr>
    </w:lvl>
    <w:lvl w:ilvl="8" w:tplc="66E49322">
      <w:start w:val="1"/>
      <w:numFmt w:val="bullet"/>
      <w:lvlText w:val=""/>
      <w:lvlJc w:val="left"/>
      <w:pPr>
        <w:ind w:left="6828" w:hanging="360"/>
      </w:pPr>
      <w:rPr>
        <w:rFonts w:ascii="Wingdings" w:hAnsi="Wingdings" w:hint="default"/>
      </w:rPr>
    </w:lvl>
  </w:abstractNum>
  <w:abstractNum w:abstractNumId="49" w15:restartNumberingAfterBreak="0">
    <w:nsid w:val="2FBA3B2D"/>
    <w:multiLevelType w:val="hybridMultilevel"/>
    <w:tmpl w:val="27DEBFD6"/>
    <w:lvl w:ilvl="0" w:tplc="FFFFFFFF">
      <w:start w:val="1"/>
      <w:numFmt w:val="bullet"/>
      <w:lvlText w:val=""/>
      <w:lvlJc w:val="left"/>
      <w:pPr>
        <w:ind w:left="720" w:hanging="360"/>
      </w:pPr>
      <w:rPr>
        <w:rFonts w:ascii="Symbol" w:hAnsi="Symbol" w:hint="default"/>
      </w:rPr>
    </w:lvl>
    <w:lvl w:ilvl="1" w:tplc="040C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308470E9"/>
    <w:multiLevelType w:val="hybridMultilevel"/>
    <w:tmpl w:val="1C08D0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08DE1B1"/>
    <w:multiLevelType w:val="hybridMultilevel"/>
    <w:tmpl w:val="FFFFFFFF"/>
    <w:lvl w:ilvl="0" w:tplc="808025E2">
      <w:start w:val="1"/>
      <w:numFmt w:val="bullet"/>
      <w:lvlText w:val=""/>
      <w:lvlJc w:val="left"/>
      <w:pPr>
        <w:ind w:left="720" w:hanging="360"/>
      </w:pPr>
      <w:rPr>
        <w:rFonts w:ascii="Symbol" w:hAnsi="Symbol" w:hint="default"/>
      </w:rPr>
    </w:lvl>
    <w:lvl w:ilvl="1" w:tplc="A56CBD9A">
      <w:start w:val="1"/>
      <w:numFmt w:val="bullet"/>
      <w:lvlText w:val="o"/>
      <w:lvlJc w:val="left"/>
      <w:pPr>
        <w:ind w:left="1440" w:hanging="360"/>
      </w:pPr>
      <w:rPr>
        <w:rFonts w:ascii="Courier New" w:hAnsi="Courier New" w:hint="default"/>
      </w:rPr>
    </w:lvl>
    <w:lvl w:ilvl="2" w:tplc="55A29C66">
      <w:start w:val="1"/>
      <w:numFmt w:val="bullet"/>
      <w:lvlText w:val=""/>
      <w:lvlJc w:val="left"/>
      <w:pPr>
        <w:ind w:left="2160" w:hanging="360"/>
      </w:pPr>
      <w:rPr>
        <w:rFonts w:ascii="Wingdings" w:hAnsi="Wingdings" w:hint="default"/>
      </w:rPr>
    </w:lvl>
    <w:lvl w:ilvl="3" w:tplc="5AF614A0">
      <w:start w:val="1"/>
      <w:numFmt w:val="bullet"/>
      <w:lvlText w:val=""/>
      <w:lvlJc w:val="left"/>
      <w:pPr>
        <w:ind w:left="2880" w:hanging="360"/>
      </w:pPr>
      <w:rPr>
        <w:rFonts w:ascii="Symbol" w:hAnsi="Symbol" w:hint="default"/>
      </w:rPr>
    </w:lvl>
    <w:lvl w:ilvl="4" w:tplc="BE649B00">
      <w:start w:val="1"/>
      <w:numFmt w:val="bullet"/>
      <w:lvlText w:val="o"/>
      <w:lvlJc w:val="left"/>
      <w:pPr>
        <w:ind w:left="3600" w:hanging="360"/>
      </w:pPr>
      <w:rPr>
        <w:rFonts w:ascii="Courier New" w:hAnsi="Courier New" w:hint="default"/>
      </w:rPr>
    </w:lvl>
    <w:lvl w:ilvl="5" w:tplc="C05054D0">
      <w:start w:val="1"/>
      <w:numFmt w:val="bullet"/>
      <w:lvlText w:val=""/>
      <w:lvlJc w:val="left"/>
      <w:pPr>
        <w:ind w:left="4320" w:hanging="360"/>
      </w:pPr>
      <w:rPr>
        <w:rFonts w:ascii="Wingdings" w:hAnsi="Wingdings" w:hint="default"/>
      </w:rPr>
    </w:lvl>
    <w:lvl w:ilvl="6" w:tplc="39DE864C">
      <w:start w:val="1"/>
      <w:numFmt w:val="bullet"/>
      <w:lvlText w:val=""/>
      <w:lvlJc w:val="left"/>
      <w:pPr>
        <w:ind w:left="5040" w:hanging="360"/>
      </w:pPr>
      <w:rPr>
        <w:rFonts w:ascii="Symbol" w:hAnsi="Symbol" w:hint="default"/>
      </w:rPr>
    </w:lvl>
    <w:lvl w:ilvl="7" w:tplc="78AE45D2">
      <w:start w:val="1"/>
      <w:numFmt w:val="bullet"/>
      <w:lvlText w:val="o"/>
      <w:lvlJc w:val="left"/>
      <w:pPr>
        <w:ind w:left="5760" w:hanging="360"/>
      </w:pPr>
      <w:rPr>
        <w:rFonts w:ascii="Courier New" w:hAnsi="Courier New" w:hint="default"/>
      </w:rPr>
    </w:lvl>
    <w:lvl w:ilvl="8" w:tplc="D76A94DA">
      <w:start w:val="1"/>
      <w:numFmt w:val="bullet"/>
      <w:lvlText w:val=""/>
      <w:lvlJc w:val="left"/>
      <w:pPr>
        <w:ind w:left="6480" w:hanging="360"/>
      </w:pPr>
      <w:rPr>
        <w:rFonts w:ascii="Wingdings" w:hAnsi="Wingdings" w:hint="default"/>
      </w:rPr>
    </w:lvl>
  </w:abstractNum>
  <w:abstractNum w:abstractNumId="52" w15:restartNumberingAfterBreak="0">
    <w:nsid w:val="34AD6B8D"/>
    <w:multiLevelType w:val="hybridMultilevel"/>
    <w:tmpl w:val="B54A7F6E"/>
    <w:lvl w:ilvl="0" w:tplc="18DCF246">
      <w:start w:val="1"/>
      <w:numFmt w:val="bullet"/>
      <w:lvlText w:val="-"/>
      <w:lvlJc w:val="left"/>
      <w:pPr>
        <w:ind w:left="1068" w:hanging="360"/>
      </w:pPr>
      <w:rPr>
        <w:rFonts w:ascii="Aptos" w:hAnsi="Aptos" w:hint="default"/>
      </w:rPr>
    </w:lvl>
    <w:lvl w:ilvl="1" w:tplc="EC2615B8">
      <w:start w:val="1"/>
      <w:numFmt w:val="bullet"/>
      <w:lvlText w:val="o"/>
      <w:lvlJc w:val="left"/>
      <w:pPr>
        <w:ind w:left="1788" w:hanging="360"/>
      </w:pPr>
      <w:rPr>
        <w:rFonts w:ascii="Courier New" w:hAnsi="Courier New" w:hint="default"/>
      </w:rPr>
    </w:lvl>
    <w:lvl w:ilvl="2" w:tplc="B5AE5F70">
      <w:start w:val="1"/>
      <w:numFmt w:val="bullet"/>
      <w:lvlText w:val=""/>
      <w:lvlJc w:val="left"/>
      <w:pPr>
        <w:ind w:left="2508" w:hanging="360"/>
      </w:pPr>
      <w:rPr>
        <w:rFonts w:ascii="Wingdings" w:hAnsi="Wingdings" w:hint="default"/>
      </w:rPr>
    </w:lvl>
    <w:lvl w:ilvl="3" w:tplc="C6C62F3C">
      <w:start w:val="1"/>
      <w:numFmt w:val="bullet"/>
      <w:lvlText w:val=""/>
      <w:lvlJc w:val="left"/>
      <w:pPr>
        <w:ind w:left="3228" w:hanging="360"/>
      </w:pPr>
      <w:rPr>
        <w:rFonts w:ascii="Symbol" w:hAnsi="Symbol" w:hint="default"/>
      </w:rPr>
    </w:lvl>
    <w:lvl w:ilvl="4" w:tplc="7B4208D6">
      <w:start w:val="1"/>
      <w:numFmt w:val="bullet"/>
      <w:lvlText w:val="o"/>
      <w:lvlJc w:val="left"/>
      <w:pPr>
        <w:ind w:left="3948" w:hanging="360"/>
      </w:pPr>
      <w:rPr>
        <w:rFonts w:ascii="Courier New" w:hAnsi="Courier New" w:hint="default"/>
      </w:rPr>
    </w:lvl>
    <w:lvl w:ilvl="5" w:tplc="344A6D96">
      <w:start w:val="1"/>
      <w:numFmt w:val="bullet"/>
      <w:lvlText w:val=""/>
      <w:lvlJc w:val="left"/>
      <w:pPr>
        <w:ind w:left="4668" w:hanging="360"/>
      </w:pPr>
      <w:rPr>
        <w:rFonts w:ascii="Wingdings" w:hAnsi="Wingdings" w:hint="default"/>
      </w:rPr>
    </w:lvl>
    <w:lvl w:ilvl="6" w:tplc="B59E1880">
      <w:start w:val="1"/>
      <w:numFmt w:val="bullet"/>
      <w:lvlText w:val=""/>
      <w:lvlJc w:val="left"/>
      <w:pPr>
        <w:ind w:left="5388" w:hanging="360"/>
      </w:pPr>
      <w:rPr>
        <w:rFonts w:ascii="Symbol" w:hAnsi="Symbol" w:hint="default"/>
      </w:rPr>
    </w:lvl>
    <w:lvl w:ilvl="7" w:tplc="4FB4099A">
      <w:start w:val="1"/>
      <w:numFmt w:val="bullet"/>
      <w:lvlText w:val="o"/>
      <w:lvlJc w:val="left"/>
      <w:pPr>
        <w:ind w:left="6108" w:hanging="360"/>
      </w:pPr>
      <w:rPr>
        <w:rFonts w:ascii="Courier New" w:hAnsi="Courier New" w:hint="default"/>
      </w:rPr>
    </w:lvl>
    <w:lvl w:ilvl="8" w:tplc="C8668FE0">
      <w:start w:val="1"/>
      <w:numFmt w:val="bullet"/>
      <w:lvlText w:val=""/>
      <w:lvlJc w:val="left"/>
      <w:pPr>
        <w:ind w:left="6828" w:hanging="360"/>
      </w:pPr>
      <w:rPr>
        <w:rFonts w:ascii="Wingdings" w:hAnsi="Wingdings" w:hint="default"/>
      </w:rPr>
    </w:lvl>
  </w:abstractNum>
  <w:abstractNum w:abstractNumId="53" w15:restartNumberingAfterBreak="0">
    <w:nsid w:val="357D2D41"/>
    <w:multiLevelType w:val="hybridMultilevel"/>
    <w:tmpl w:val="A81605DA"/>
    <w:lvl w:ilvl="0" w:tplc="7E1C7DFE">
      <w:start w:val="3"/>
      <w:numFmt w:val="bullet"/>
      <w:lvlText w:val="-"/>
      <w:lvlJc w:val="left"/>
      <w:pPr>
        <w:tabs>
          <w:tab w:val="num" w:pos="1068"/>
        </w:tabs>
        <w:ind w:left="1068" w:hanging="360"/>
      </w:pPr>
      <w:rPr>
        <w:rFonts w:ascii="Arial" w:eastAsiaTheme="minorHAnsi" w:hAnsi="Arial" w:cs="Arial" w:hint="default"/>
      </w:rPr>
    </w:lvl>
    <w:lvl w:ilvl="1" w:tplc="040C0003" w:tentative="1">
      <w:start w:val="1"/>
      <w:numFmt w:val="bullet"/>
      <w:lvlText w:val="o"/>
      <w:lvlJc w:val="left"/>
      <w:pPr>
        <w:ind w:left="348" w:hanging="360"/>
      </w:pPr>
      <w:rPr>
        <w:rFonts w:ascii="Courier New" w:hAnsi="Courier New" w:cs="Courier New" w:hint="default"/>
      </w:rPr>
    </w:lvl>
    <w:lvl w:ilvl="2" w:tplc="040C0005" w:tentative="1">
      <w:start w:val="1"/>
      <w:numFmt w:val="bullet"/>
      <w:lvlText w:val=""/>
      <w:lvlJc w:val="left"/>
      <w:pPr>
        <w:ind w:left="1068" w:hanging="360"/>
      </w:pPr>
      <w:rPr>
        <w:rFonts w:ascii="Wingdings" w:hAnsi="Wingdings" w:hint="default"/>
      </w:rPr>
    </w:lvl>
    <w:lvl w:ilvl="3" w:tplc="040C0001" w:tentative="1">
      <w:start w:val="1"/>
      <w:numFmt w:val="bullet"/>
      <w:lvlText w:val=""/>
      <w:lvlJc w:val="left"/>
      <w:pPr>
        <w:ind w:left="1788" w:hanging="360"/>
      </w:pPr>
      <w:rPr>
        <w:rFonts w:ascii="Symbol" w:hAnsi="Symbol" w:hint="default"/>
      </w:rPr>
    </w:lvl>
    <w:lvl w:ilvl="4" w:tplc="040C0003" w:tentative="1">
      <w:start w:val="1"/>
      <w:numFmt w:val="bullet"/>
      <w:lvlText w:val="o"/>
      <w:lvlJc w:val="left"/>
      <w:pPr>
        <w:ind w:left="2508" w:hanging="360"/>
      </w:pPr>
      <w:rPr>
        <w:rFonts w:ascii="Courier New" w:hAnsi="Courier New" w:cs="Courier New" w:hint="default"/>
      </w:rPr>
    </w:lvl>
    <w:lvl w:ilvl="5" w:tplc="040C0005" w:tentative="1">
      <w:start w:val="1"/>
      <w:numFmt w:val="bullet"/>
      <w:lvlText w:val=""/>
      <w:lvlJc w:val="left"/>
      <w:pPr>
        <w:ind w:left="3228" w:hanging="360"/>
      </w:pPr>
      <w:rPr>
        <w:rFonts w:ascii="Wingdings" w:hAnsi="Wingdings" w:hint="default"/>
      </w:rPr>
    </w:lvl>
    <w:lvl w:ilvl="6" w:tplc="040C0001" w:tentative="1">
      <w:start w:val="1"/>
      <w:numFmt w:val="bullet"/>
      <w:lvlText w:val=""/>
      <w:lvlJc w:val="left"/>
      <w:pPr>
        <w:ind w:left="3948" w:hanging="360"/>
      </w:pPr>
      <w:rPr>
        <w:rFonts w:ascii="Symbol" w:hAnsi="Symbol" w:hint="default"/>
      </w:rPr>
    </w:lvl>
    <w:lvl w:ilvl="7" w:tplc="040C0003" w:tentative="1">
      <w:start w:val="1"/>
      <w:numFmt w:val="bullet"/>
      <w:lvlText w:val="o"/>
      <w:lvlJc w:val="left"/>
      <w:pPr>
        <w:ind w:left="4668" w:hanging="360"/>
      </w:pPr>
      <w:rPr>
        <w:rFonts w:ascii="Courier New" w:hAnsi="Courier New" w:cs="Courier New" w:hint="default"/>
      </w:rPr>
    </w:lvl>
    <w:lvl w:ilvl="8" w:tplc="040C0005" w:tentative="1">
      <w:start w:val="1"/>
      <w:numFmt w:val="bullet"/>
      <w:lvlText w:val=""/>
      <w:lvlJc w:val="left"/>
      <w:pPr>
        <w:ind w:left="5388" w:hanging="360"/>
      </w:pPr>
      <w:rPr>
        <w:rFonts w:ascii="Wingdings" w:hAnsi="Wingdings" w:hint="default"/>
      </w:rPr>
    </w:lvl>
  </w:abstractNum>
  <w:abstractNum w:abstractNumId="54" w15:restartNumberingAfterBreak="0">
    <w:nsid w:val="36EE0B4B"/>
    <w:multiLevelType w:val="hybridMultilevel"/>
    <w:tmpl w:val="DFB6F9B2"/>
    <w:lvl w:ilvl="0" w:tplc="B994011E">
      <w:start w:val="1"/>
      <w:numFmt w:val="decimal"/>
      <w:lvlText w:val="%1."/>
      <w:lvlJc w:val="left"/>
      <w:pPr>
        <w:ind w:left="1020" w:hanging="360"/>
      </w:pPr>
    </w:lvl>
    <w:lvl w:ilvl="1" w:tplc="29864EA2">
      <w:start w:val="1"/>
      <w:numFmt w:val="decimal"/>
      <w:lvlText w:val="%2."/>
      <w:lvlJc w:val="left"/>
      <w:pPr>
        <w:ind w:left="1020" w:hanging="360"/>
      </w:pPr>
    </w:lvl>
    <w:lvl w:ilvl="2" w:tplc="FED264CE">
      <w:start w:val="1"/>
      <w:numFmt w:val="decimal"/>
      <w:lvlText w:val="%3."/>
      <w:lvlJc w:val="left"/>
      <w:pPr>
        <w:ind w:left="1020" w:hanging="360"/>
      </w:pPr>
    </w:lvl>
    <w:lvl w:ilvl="3" w:tplc="CD420BB4">
      <w:start w:val="1"/>
      <w:numFmt w:val="decimal"/>
      <w:lvlText w:val="%4."/>
      <w:lvlJc w:val="left"/>
      <w:pPr>
        <w:ind w:left="1020" w:hanging="360"/>
      </w:pPr>
    </w:lvl>
    <w:lvl w:ilvl="4" w:tplc="5FDAB1C2">
      <w:start w:val="1"/>
      <w:numFmt w:val="decimal"/>
      <w:lvlText w:val="%5."/>
      <w:lvlJc w:val="left"/>
      <w:pPr>
        <w:ind w:left="1020" w:hanging="360"/>
      </w:pPr>
    </w:lvl>
    <w:lvl w:ilvl="5" w:tplc="E4BC937E">
      <w:start w:val="1"/>
      <w:numFmt w:val="decimal"/>
      <w:lvlText w:val="%6."/>
      <w:lvlJc w:val="left"/>
      <w:pPr>
        <w:ind w:left="1020" w:hanging="360"/>
      </w:pPr>
    </w:lvl>
    <w:lvl w:ilvl="6" w:tplc="F0B86974">
      <w:start w:val="1"/>
      <w:numFmt w:val="decimal"/>
      <w:lvlText w:val="%7."/>
      <w:lvlJc w:val="left"/>
      <w:pPr>
        <w:ind w:left="1020" w:hanging="360"/>
      </w:pPr>
    </w:lvl>
    <w:lvl w:ilvl="7" w:tplc="26F84552">
      <w:start w:val="1"/>
      <w:numFmt w:val="decimal"/>
      <w:lvlText w:val="%8."/>
      <w:lvlJc w:val="left"/>
      <w:pPr>
        <w:ind w:left="1020" w:hanging="360"/>
      </w:pPr>
    </w:lvl>
    <w:lvl w:ilvl="8" w:tplc="ECCA9568">
      <w:start w:val="1"/>
      <w:numFmt w:val="decimal"/>
      <w:lvlText w:val="%9."/>
      <w:lvlJc w:val="left"/>
      <w:pPr>
        <w:ind w:left="1020" w:hanging="360"/>
      </w:pPr>
    </w:lvl>
  </w:abstractNum>
  <w:abstractNum w:abstractNumId="55" w15:restartNumberingAfterBreak="0">
    <w:nsid w:val="37FE494A"/>
    <w:multiLevelType w:val="hybridMultilevel"/>
    <w:tmpl w:val="A3104540"/>
    <w:lvl w:ilvl="0" w:tplc="2F9CD74C">
      <w:start w:val="1"/>
      <w:numFmt w:val="bullet"/>
      <w:lvlText w:val="-"/>
      <w:lvlJc w:val="left"/>
      <w:pPr>
        <w:ind w:left="1068" w:hanging="360"/>
      </w:pPr>
      <w:rPr>
        <w:rFonts w:ascii="Aptos" w:hAnsi="Aptos" w:hint="default"/>
      </w:rPr>
    </w:lvl>
    <w:lvl w:ilvl="1" w:tplc="F8B6F0EA">
      <w:start w:val="1"/>
      <w:numFmt w:val="bullet"/>
      <w:lvlText w:val="o"/>
      <w:lvlJc w:val="left"/>
      <w:pPr>
        <w:ind w:left="1788" w:hanging="360"/>
      </w:pPr>
      <w:rPr>
        <w:rFonts w:ascii="Courier New" w:hAnsi="Courier New" w:hint="default"/>
      </w:rPr>
    </w:lvl>
    <w:lvl w:ilvl="2" w:tplc="F1120A18">
      <w:start w:val="1"/>
      <w:numFmt w:val="bullet"/>
      <w:lvlText w:val=""/>
      <w:lvlJc w:val="left"/>
      <w:pPr>
        <w:ind w:left="2508" w:hanging="360"/>
      </w:pPr>
      <w:rPr>
        <w:rFonts w:ascii="Wingdings" w:hAnsi="Wingdings" w:hint="default"/>
      </w:rPr>
    </w:lvl>
    <w:lvl w:ilvl="3" w:tplc="84D2DFC6">
      <w:start w:val="1"/>
      <w:numFmt w:val="bullet"/>
      <w:lvlText w:val=""/>
      <w:lvlJc w:val="left"/>
      <w:pPr>
        <w:ind w:left="3228" w:hanging="360"/>
      </w:pPr>
      <w:rPr>
        <w:rFonts w:ascii="Symbol" w:hAnsi="Symbol" w:hint="default"/>
      </w:rPr>
    </w:lvl>
    <w:lvl w:ilvl="4" w:tplc="3FDC3B2C">
      <w:start w:val="1"/>
      <w:numFmt w:val="bullet"/>
      <w:lvlText w:val="o"/>
      <w:lvlJc w:val="left"/>
      <w:pPr>
        <w:ind w:left="3948" w:hanging="360"/>
      </w:pPr>
      <w:rPr>
        <w:rFonts w:ascii="Courier New" w:hAnsi="Courier New" w:hint="default"/>
      </w:rPr>
    </w:lvl>
    <w:lvl w:ilvl="5" w:tplc="62F0021A">
      <w:start w:val="1"/>
      <w:numFmt w:val="bullet"/>
      <w:lvlText w:val=""/>
      <w:lvlJc w:val="left"/>
      <w:pPr>
        <w:ind w:left="4668" w:hanging="360"/>
      </w:pPr>
      <w:rPr>
        <w:rFonts w:ascii="Wingdings" w:hAnsi="Wingdings" w:hint="default"/>
      </w:rPr>
    </w:lvl>
    <w:lvl w:ilvl="6" w:tplc="E63AE402">
      <w:start w:val="1"/>
      <w:numFmt w:val="bullet"/>
      <w:lvlText w:val=""/>
      <w:lvlJc w:val="left"/>
      <w:pPr>
        <w:ind w:left="5388" w:hanging="360"/>
      </w:pPr>
      <w:rPr>
        <w:rFonts w:ascii="Symbol" w:hAnsi="Symbol" w:hint="default"/>
      </w:rPr>
    </w:lvl>
    <w:lvl w:ilvl="7" w:tplc="B64C096A">
      <w:start w:val="1"/>
      <w:numFmt w:val="bullet"/>
      <w:lvlText w:val="o"/>
      <w:lvlJc w:val="left"/>
      <w:pPr>
        <w:ind w:left="6108" w:hanging="360"/>
      </w:pPr>
      <w:rPr>
        <w:rFonts w:ascii="Courier New" w:hAnsi="Courier New" w:hint="default"/>
      </w:rPr>
    </w:lvl>
    <w:lvl w:ilvl="8" w:tplc="8C96E0C0">
      <w:start w:val="1"/>
      <w:numFmt w:val="bullet"/>
      <w:lvlText w:val=""/>
      <w:lvlJc w:val="left"/>
      <w:pPr>
        <w:ind w:left="6828" w:hanging="360"/>
      </w:pPr>
      <w:rPr>
        <w:rFonts w:ascii="Wingdings" w:hAnsi="Wingdings" w:hint="default"/>
      </w:rPr>
    </w:lvl>
  </w:abstractNum>
  <w:abstractNum w:abstractNumId="56" w15:restartNumberingAfterBreak="0">
    <w:nsid w:val="385014E5"/>
    <w:multiLevelType w:val="hybridMultilevel"/>
    <w:tmpl w:val="795A0DF2"/>
    <w:lvl w:ilvl="0" w:tplc="4DA05936">
      <w:start w:val="1"/>
      <w:numFmt w:val="bullet"/>
      <w:lvlText w:val="•"/>
      <w:lvlJc w:val="left"/>
      <w:pPr>
        <w:tabs>
          <w:tab w:val="num" w:pos="720"/>
        </w:tabs>
        <w:ind w:left="720" w:hanging="360"/>
      </w:pPr>
      <w:rPr>
        <w:rFonts w:ascii="Arial" w:hAnsi="Arial" w:hint="default"/>
      </w:rPr>
    </w:lvl>
    <w:lvl w:ilvl="1" w:tplc="C2CE07FA" w:tentative="1">
      <w:start w:val="1"/>
      <w:numFmt w:val="bullet"/>
      <w:lvlText w:val="•"/>
      <w:lvlJc w:val="left"/>
      <w:pPr>
        <w:tabs>
          <w:tab w:val="num" w:pos="1440"/>
        </w:tabs>
        <w:ind w:left="1440" w:hanging="360"/>
      </w:pPr>
      <w:rPr>
        <w:rFonts w:ascii="Arial" w:hAnsi="Arial" w:hint="default"/>
      </w:rPr>
    </w:lvl>
    <w:lvl w:ilvl="2" w:tplc="661E2138" w:tentative="1">
      <w:start w:val="1"/>
      <w:numFmt w:val="bullet"/>
      <w:lvlText w:val="•"/>
      <w:lvlJc w:val="left"/>
      <w:pPr>
        <w:tabs>
          <w:tab w:val="num" w:pos="2160"/>
        </w:tabs>
        <w:ind w:left="2160" w:hanging="360"/>
      </w:pPr>
      <w:rPr>
        <w:rFonts w:ascii="Arial" w:hAnsi="Arial" w:hint="default"/>
      </w:rPr>
    </w:lvl>
    <w:lvl w:ilvl="3" w:tplc="D56E5D16" w:tentative="1">
      <w:start w:val="1"/>
      <w:numFmt w:val="bullet"/>
      <w:lvlText w:val="•"/>
      <w:lvlJc w:val="left"/>
      <w:pPr>
        <w:tabs>
          <w:tab w:val="num" w:pos="2880"/>
        </w:tabs>
        <w:ind w:left="2880" w:hanging="360"/>
      </w:pPr>
      <w:rPr>
        <w:rFonts w:ascii="Arial" w:hAnsi="Arial" w:hint="default"/>
      </w:rPr>
    </w:lvl>
    <w:lvl w:ilvl="4" w:tplc="869A68B4" w:tentative="1">
      <w:start w:val="1"/>
      <w:numFmt w:val="bullet"/>
      <w:lvlText w:val="•"/>
      <w:lvlJc w:val="left"/>
      <w:pPr>
        <w:tabs>
          <w:tab w:val="num" w:pos="3600"/>
        </w:tabs>
        <w:ind w:left="3600" w:hanging="360"/>
      </w:pPr>
      <w:rPr>
        <w:rFonts w:ascii="Arial" w:hAnsi="Arial" w:hint="default"/>
      </w:rPr>
    </w:lvl>
    <w:lvl w:ilvl="5" w:tplc="34A65172" w:tentative="1">
      <w:start w:val="1"/>
      <w:numFmt w:val="bullet"/>
      <w:lvlText w:val="•"/>
      <w:lvlJc w:val="left"/>
      <w:pPr>
        <w:tabs>
          <w:tab w:val="num" w:pos="4320"/>
        </w:tabs>
        <w:ind w:left="4320" w:hanging="360"/>
      </w:pPr>
      <w:rPr>
        <w:rFonts w:ascii="Arial" w:hAnsi="Arial" w:hint="default"/>
      </w:rPr>
    </w:lvl>
    <w:lvl w:ilvl="6" w:tplc="00840BD0" w:tentative="1">
      <w:start w:val="1"/>
      <w:numFmt w:val="bullet"/>
      <w:lvlText w:val="•"/>
      <w:lvlJc w:val="left"/>
      <w:pPr>
        <w:tabs>
          <w:tab w:val="num" w:pos="5040"/>
        </w:tabs>
        <w:ind w:left="5040" w:hanging="360"/>
      </w:pPr>
      <w:rPr>
        <w:rFonts w:ascii="Arial" w:hAnsi="Arial" w:hint="default"/>
      </w:rPr>
    </w:lvl>
    <w:lvl w:ilvl="7" w:tplc="92F2E434" w:tentative="1">
      <w:start w:val="1"/>
      <w:numFmt w:val="bullet"/>
      <w:lvlText w:val="•"/>
      <w:lvlJc w:val="left"/>
      <w:pPr>
        <w:tabs>
          <w:tab w:val="num" w:pos="5760"/>
        </w:tabs>
        <w:ind w:left="5760" w:hanging="360"/>
      </w:pPr>
      <w:rPr>
        <w:rFonts w:ascii="Arial" w:hAnsi="Arial" w:hint="default"/>
      </w:rPr>
    </w:lvl>
    <w:lvl w:ilvl="8" w:tplc="64C6A04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38554D7B"/>
    <w:multiLevelType w:val="hybridMultilevel"/>
    <w:tmpl w:val="5C6ADB16"/>
    <w:lvl w:ilvl="0" w:tplc="9C60834E">
      <w:start w:val="1"/>
      <w:numFmt w:val="decimal"/>
      <w:lvlText w:val="%1."/>
      <w:lvlJc w:val="left"/>
      <w:pPr>
        <w:ind w:left="1020" w:hanging="360"/>
      </w:pPr>
    </w:lvl>
    <w:lvl w:ilvl="1" w:tplc="B0902B58">
      <w:start w:val="1"/>
      <w:numFmt w:val="decimal"/>
      <w:lvlText w:val="%2."/>
      <w:lvlJc w:val="left"/>
      <w:pPr>
        <w:ind w:left="1020" w:hanging="360"/>
      </w:pPr>
    </w:lvl>
    <w:lvl w:ilvl="2" w:tplc="413870C8">
      <w:start w:val="1"/>
      <w:numFmt w:val="decimal"/>
      <w:lvlText w:val="%3."/>
      <w:lvlJc w:val="left"/>
      <w:pPr>
        <w:ind w:left="1020" w:hanging="360"/>
      </w:pPr>
    </w:lvl>
    <w:lvl w:ilvl="3" w:tplc="3F6C8A34">
      <w:start w:val="1"/>
      <w:numFmt w:val="decimal"/>
      <w:lvlText w:val="%4."/>
      <w:lvlJc w:val="left"/>
      <w:pPr>
        <w:ind w:left="1020" w:hanging="360"/>
      </w:pPr>
    </w:lvl>
    <w:lvl w:ilvl="4" w:tplc="974A91DC">
      <w:start w:val="1"/>
      <w:numFmt w:val="decimal"/>
      <w:lvlText w:val="%5."/>
      <w:lvlJc w:val="left"/>
      <w:pPr>
        <w:ind w:left="1020" w:hanging="360"/>
      </w:pPr>
    </w:lvl>
    <w:lvl w:ilvl="5" w:tplc="2320CFEA">
      <w:start w:val="1"/>
      <w:numFmt w:val="decimal"/>
      <w:lvlText w:val="%6."/>
      <w:lvlJc w:val="left"/>
      <w:pPr>
        <w:ind w:left="1020" w:hanging="360"/>
      </w:pPr>
    </w:lvl>
    <w:lvl w:ilvl="6" w:tplc="ED9863DE">
      <w:start w:val="1"/>
      <w:numFmt w:val="decimal"/>
      <w:lvlText w:val="%7."/>
      <w:lvlJc w:val="left"/>
      <w:pPr>
        <w:ind w:left="1020" w:hanging="360"/>
      </w:pPr>
    </w:lvl>
    <w:lvl w:ilvl="7" w:tplc="9E4AF69E">
      <w:start w:val="1"/>
      <w:numFmt w:val="decimal"/>
      <w:lvlText w:val="%8."/>
      <w:lvlJc w:val="left"/>
      <w:pPr>
        <w:ind w:left="1020" w:hanging="360"/>
      </w:pPr>
    </w:lvl>
    <w:lvl w:ilvl="8" w:tplc="9CF28514">
      <w:start w:val="1"/>
      <w:numFmt w:val="decimal"/>
      <w:lvlText w:val="%9."/>
      <w:lvlJc w:val="left"/>
      <w:pPr>
        <w:ind w:left="1020" w:hanging="360"/>
      </w:pPr>
    </w:lvl>
  </w:abstractNum>
  <w:abstractNum w:abstractNumId="58" w15:restartNumberingAfterBreak="0">
    <w:nsid w:val="394C661D"/>
    <w:multiLevelType w:val="hybridMultilevel"/>
    <w:tmpl w:val="50FE92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39E8394F"/>
    <w:multiLevelType w:val="hybridMultilevel"/>
    <w:tmpl w:val="8E86242C"/>
    <w:lvl w:ilvl="0" w:tplc="F63E4FB0">
      <w:start w:val="1"/>
      <w:numFmt w:val="bullet"/>
      <w:lvlText w:val="•"/>
      <w:lvlJc w:val="left"/>
      <w:pPr>
        <w:tabs>
          <w:tab w:val="num" w:pos="720"/>
        </w:tabs>
        <w:ind w:left="720" w:hanging="360"/>
      </w:pPr>
      <w:rPr>
        <w:rFonts w:ascii="Arial" w:hAnsi="Arial" w:hint="default"/>
      </w:rPr>
    </w:lvl>
    <w:lvl w:ilvl="1" w:tplc="65EC86BE">
      <w:start w:val="1"/>
      <w:numFmt w:val="bullet"/>
      <w:lvlText w:val="•"/>
      <w:lvlJc w:val="left"/>
      <w:pPr>
        <w:tabs>
          <w:tab w:val="num" w:pos="1440"/>
        </w:tabs>
        <w:ind w:left="1440" w:hanging="360"/>
      </w:pPr>
      <w:rPr>
        <w:rFonts w:ascii="Arial" w:hAnsi="Arial" w:hint="default"/>
      </w:rPr>
    </w:lvl>
    <w:lvl w:ilvl="2" w:tplc="B37875FC" w:tentative="1">
      <w:start w:val="1"/>
      <w:numFmt w:val="bullet"/>
      <w:lvlText w:val="•"/>
      <w:lvlJc w:val="left"/>
      <w:pPr>
        <w:tabs>
          <w:tab w:val="num" w:pos="2160"/>
        </w:tabs>
        <w:ind w:left="2160" w:hanging="360"/>
      </w:pPr>
      <w:rPr>
        <w:rFonts w:ascii="Arial" w:hAnsi="Arial" w:hint="default"/>
      </w:rPr>
    </w:lvl>
    <w:lvl w:ilvl="3" w:tplc="DD22FE2C" w:tentative="1">
      <w:start w:val="1"/>
      <w:numFmt w:val="bullet"/>
      <w:lvlText w:val="•"/>
      <w:lvlJc w:val="left"/>
      <w:pPr>
        <w:tabs>
          <w:tab w:val="num" w:pos="2880"/>
        </w:tabs>
        <w:ind w:left="2880" w:hanging="360"/>
      </w:pPr>
      <w:rPr>
        <w:rFonts w:ascii="Arial" w:hAnsi="Arial" w:hint="default"/>
      </w:rPr>
    </w:lvl>
    <w:lvl w:ilvl="4" w:tplc="A63CD38A" w:tentative="1">
      <w:start w:val="1"/>
      <w:numFmt w:val="bullet"/>
      <w:lvlText w:val="•"/>
      <w:lvlJc w:val="left"/>
      <w:pPr>
        <w:tabs>
          <w:tab w:val="num" w:pos="3600"/>
        </w:tabs>
        <w:ind w:left="3600" w:hanging="360"/>
      </w:pPr>
      <w:rPr>
        <w:rFonts w:ascii="Arial" w:hAnsi="Arial" w:hint="default"/>
      </w:rPr>
    </w:lvl>
    <w:lvl w:ilvl="5" w:tplc="049C42E2" w:tentative="1">
      <w:start w:val="1"/>
      <w:numFmt w:val="bullet"/>
      <w:lvlText w:val="•"/>
      <w:lvlJc w:val="left"/>
      <w:pPr>
        <w:tabs>
          <w:tab w:val="num" w:pos="4320"/>
        </w:tabs>
        <w:ind w:left="4320" w:hanging="360"/>
      </w:pPr>
      <w:rPr>
        <w:rFonts w:ascii="Arial" w:hAnsi="Arial" w:hint="default"/>
      </w:rPr>
    </w:lvl>
    <w:lvl w:ilvl="6" w:tplc="2DD6F19C" w:tentative="1">
      <w:start w:val="1"/>
      <w:numFmt w:val="bullet"/>
      <w:lvlText w:val="•"/>
      <w:lvlJc w:val="left"/>
      <w:pPr>
        <w:tabs>
          <w:tab w:val="num" w:pos="5040"/>
        </w:tabs>
        <w:ind w:left="5040" w:hanging="360"/>
      </w:pPr>
      <w:rPr>
        <w:rFonts w:ascii="Arial" w:hAnsi="Arial" w:hint="default"/>
      </w:rPr>
    </w:lvl>
    <w:lvl w:ilvl="7" w:tplc="8046723C" w:tentative="1">
      <w:start w:val="1"/>
      <w:numFmt w:val="bullet"/>
      <w:lvlText w:val="•"/>
      <w:lvlJc w:val="left"/>
      <w:pPr>
        <w:tabs>
          <w:tab w:val="num" w:pos="5760"/>
        </w:tabs>
        <w:ind w:left="5760" w:hanging="360"/>
      </w:pPr>
      <w:rPr>
        <w:rFonts w:ascii="Arial" w:hAnsi="Arial" w:hint="default"/>
      </w:rPr>
    </w:lvl>
    <w:lvl w:ilvl="8" w:tplc="F7806CFC"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A2840E6"/>
    <w:multiLevelType w:val="hybridMultilevel"/>
    <w:tmpl w:val="DE6EE39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3A592CE1"/>
    <w:multiLevelType w:val="hybridMultilevel"/>
    <w:tmpl w:val="B5DC6942"/>
    <w:lvl w:ilvl="0" w:tplc="A6C44B74">
      <w:start w:val="1"/>
      <w:numFmt w:val="bullet"/>
      <w:lvlText w:val="-"/>
      <w:lvlJc w:val="left"/>
      <w:pPr>
        <w:ind w:left="1068" w:hanging="360"/>
      </w:pPr>
      <w:rPr>
        <w:rFonts w:ascii="Aptos" w:hAnsi="Aptos" w:hint="default"/>
      </w:rPr>
    </w:lvl>
    <w:lvl w:ilvl="1" w:tplc="FC74869A">
      <w:start w:val="1"/>
      <w:numFmt w:val="bullet"/>
      <w:lvlText w:val="o"/>
      <w:lvlJc w:val="left"/>
      <w:pPr>
        <w:ind w:left="1788" w:hanging="360"/>
      </w:pPr>
      <w:rPr>
        <w:rFonts w:ascii="Courier New" w:hAnsi="Courier New" w:hint="default"/>
      </w:rPr>
    </w:lvl>
    <w:lvl w:ilvl="2" w:tplc="39FCC966">
      <w:start w:val="1"/>
      <w:numFmt w:val="bullet"/>
      <w:lvlText w:val=""/>
      <w:lvlJc w:val="left"/>
      <w:pPr>
        <w:ind w:left="2508" w:hanging="360"/>
      </w:pPr>
      <w:rPr>
        <w:rFonts w:ascii="Wingdings" w:hAnsi="Wingdings" w:hint="default"/>
      </w:rPr>
    </w:lvl>
    <w:lvl w:ilvl="3" w:tplc="FFB4511E">
      <w:start w:val="1"/>
      <w:numFmt w:val="bullet"/>
      <w:lvlText w:val=""/>
      <w:lvlJc w:val="left"/>
      <w:pPr>
        <w:ind w:left="3228" w:hanging="360"/>
      </w:pPr>
      <w:rPr>
        <w:rFonts w:ascii="Symbol" w:hAnsi="Symbol" w:hint="default"/>
      </w:rPr>
    </w:lvl>
    <w:lvl w:ilvl="4" w:tplc="51E665B2">
      <w:start w:val="1"/>
      <w:numFmt w:val="bullet"/>
      <w:lvlText w:val="o"/>
      <w:lvlJc w:val="left"/>
      <w:pPr>
        <w:ind w:left="3948" w:hanging="360"/>
      </w:pPr>
      <w:rPr>
        <w:rFonts w:ascii="Courier New" w:hAnsi="Courier New" w:hint="default"/>
      </w:rPr>
    </w:lvl>
    <w:lvl w:ilvl="5" w:tplc="FB22DB9E">
      <w:start w:val="1"/>
      <w:numFmt w:val="bullet"/>
      <w:lvlText w:val=""/>
      <w:lvlJc w:val="left"/>
      <w:pPr>
        <w:ind w:left="4668" w:hanging="360"/>
      </w:pPr>
      <w:rPr>
        <w:rFonts w:ascii="Wingdings" w:hAnsi="Wingdings" w:hint="default"/>
      </w:rPr>
    </w:lvl>
    <w:lvl w:ilvl="6" w:tplc="C6ECDB5E">
      <w:start w:val="1"/>
      <w:numFmt w:val="bullet"/>
      <w:lvlText w:val=""/>
      <w:lvlJc w:val="left"/>
      <w:pPr>
        <w:ind w:left="5388" w:hanging="360"/>
      </w:pPr>
      <w:rPr>
        <w:rFonts w:ascii="Symbol" w:hAnsi="Symbol" w:hint="default"/>
      </w:rPr>
    </w:lvl>
    <w:lvl w:ilvl="7" w:tplc="4DD67116">
      <w:start w:val="1"/>
      <w:numFmt w:val="bullet"/>
      <w:lvlText w:val="o"/>
      <w:lvlJc w:val="left"/>
      <w:pPr>
        <w:ind w:left="6108" w:hanging="360"/>
      </w:pPr>
      <w:rPr>
        <w:rFonts w:ascii="Courier New" w:hAnsi="Courier New" w:hint="default"/>
      </w:rPr>
    </w:lvl>
    <w:lvl w:ilvl="8" w:tplc="B3E83BF6">
      <w:start w:val="1"/>
      <w:numFmt w:val="bullet"/>
      <w:lvlText w:val=""/>
      <w:lvlJc w:val="left"/>
      <w:pPr>
        <w:ind w:left="6828" w:hanging="360"/>
      </w:pPr>
      <w:rPr>
        <w:rFonts w:ascii="Wingdings" w:hAnsi="Wingdings" w:hint="default"/>
      </w:rPr>
    </w:lvl>
  </w:abstractNum>
  <w:abstractNum w:abstractNumId="62" w15:restartNumberingAfterBreak="0">
    <w:nsid w:val="3B04EF74"/>
    <w:multiLevelType w:val="hybridMultilevel"/>
    <w:tmpl w:val="40EC24A6"/>
    <w:lvl w:ilvl="0" w:tplc="5E1CDB4E">
      <w:start w:val="1"/>
      <w:numFmt w:val="bullet"/>
      <w:lvlText w:val="-"/>
      <w:lvlJc w:val="left"/>
      <w:pPr>
        <w:ind w:left="1080" w:hanging="360"/>
      </w:pPr>
      <w:rPr>
        <w:rFonts w:ascii="Aptos" w:hAnsi="Aptos" w:hint="default"/>
      </w:rPr>
    </w:lvl>
    <w:lvl w:ilvl="1" w:tplc="CB32DC58">
      <w:start w:val="1"/>
      <w:numFmt w:val="bullet"/>
      <w:lvlText w:val="o"/>
      <w:lvlJc w:val="left"/>
      <w:pPr>
        <w:ind w:left="1800" w:hanging="360"/>
      </w:pPr>
      <w:rPr>
        <w:rFonts w:ascii="Courier New" w:hAnsi="Courier New" w:hint="default"/>
      </w:rPr>
    </w:lvl>
    <w:lvl w:ilvl="2" w:tplc="CEA66CC6">
      <w:start w:val="1"/>
      <w:numFmt w:val="bullet"/>
      <w:lvlText w:val=""/>
      <w:lvlJc w:val="left"/>
      <w:pPr>
        <w:ind w:left="2520" w:hanging="360"/>
      </w:pPr>
      <w:rPr>
        <w:rFonts w:ascii="Wingdings" w:hAnsi="Wingdings" w:hint="default"/>
      </w:rPr>
    </w:lvl>
    <w:lvl w:ilvl="3" w:tplc="74AC60A0">
      <w:start w:val="1"/>
      <w:numFmt w:val="bullet"/>
      <w:lvlText w:val=""/>
      <w:lvlJc w:val="left"/>
      <w:pPr>
        <w:ind w:left="3240" w:hanging="360"/>
      </w:pPr>
      <w:rPr>
        <w:rFonts w:ascii="Symbol" w:hAnsi="Symbol" w:hint="default"/>
      </w:rPr>
    </w:lvl>
    <w:lvl w:ilvl="4" w:tplc="374A6E60">
      <w:start w:val="1"/>
      <w:numFmt w:val="bullet"/>
      <w:lvlText w:val="o"/>
      <w:lvlJc w:val="left"/>
      <w:pPr>
        <w:ind w:left="3960" w:hanging="360"/>
      </w:pPr>
      <w:rPr>
        <w:rFonts w:ascii="Courier New" w:hAnsi="Courier New" w:hint="default"/>
      </w:rPr>
    </w:lvl>
    <w:lvl w:ilvl="5" w:tplc="E702E7EA">
      <w:start w:val="1"/>
      <w:numFmt w:val="bullet"/>
      <w:lvlText w:val=""/>
      <w:lvlJc w:val="left"/>
      <w:pPr>
        <w:ind w:left="4680" w:hanging="360"/>
      </w:pPr>
      <w:rPr>
        <w:rFonts w:ascii="Wingdings" w:hAnsi="Wingdings" w:hint="default"/>
      </w:rPr>
    </w:lvl>
    <w:lvl w:ilvl="6" w:tplc="A35A44D8">
      <w:start w:val="1"/>
      <w:numFmt w:val="bullet"/>
      <w:lvlText w:val=""/>
      <w:lvlJc w:val="left"/>
      <w:pPr>
        <w:ind w:left="5400" w:hanging="360"/>
      </w:pPr>
      <w:rPr>
        <w:rFonts w:ascii="Symbol" w:hAnsi="Symbol" w:hint="default"/>
      </w:rPr>
    </w:lvl>
    <w:lvl w:ilvl="7" w:tplc="96444D90">
      <w:start w:val="1"/>
      <w:numFmt w:val="bullet"/>
      <w:lvlText w:val="o"/>
      <w:lvlJc w:val="left"/>
      <w:pPr>
        <w:ind w:left="6120" w:hanging="360"/>
      </w:pPr>
      <w:rPr>
        <w:rFonts w:ascii="Courier New" w:hAnsi="Courier New" w:hint="default"/>
      </w:rPr>
    </w:lvl>
    <w:lvl w:ilvl="8" w:tplc="186676D0">
      <w:start w:val="1"/>
      <w:numFmt w:val="bullet"/>
      <w:lvlText w:val=""/>
      <w:lvlJc w:val="left"/>
      <w:pPr>
        <w:ind w:left="6840" w:hanging="360"/>
      </w:pPr>
      <w:rPr>
        <w:rFonts w:ascii="Wingdings" w:hAnsi="Wingdings" w:hint="default"/>
      </w:rPr>
    </w:lvl>
  </w:abstractNum>
  <w:abstractNum w:abstractNumId="63" w15:restartNumberingAfterBreak="0">
    <w:nsid w:val="3BEA5098"/>
    <w:multiLevelType w:val="hybridMultilevel"/>
    <w:tmpl w:val="21E251CC"/>
    <w:lvl w:ilvl="0" w:tplc="8D021A74">
      <w:start w:val="1"/>
      <w:numFmt w:val="decimal"/>
      <w:lvlText w:val="%1."/>
      <w:lvlJc w:val="left"/>
      <w:pPr>
        <w:ind w:left="1020" w:hanging="360"/>
      </w:pPr>
    </w:lvl>
    <w:lvl w:ilvl="1" w:tplc="56DEDFC8">
      <w:start w:val="1"/>
      <w:numFmt w:val="decimal"/>
      <w:lvlText w:val="%2."/>
      <w:lvlJc w:val="left"/>
      <w:pPr>
        <w:ind w:left="1020" w:hanging="360"/>
      </w:pPr>
    </w:lvl>
    <w:lvl w:ilvl="2" w:tplc="8BB89F82">
      <w:start w:val="1"/>
      <w:numFmt w:val="decimal"/>
      <w:lvlText w:val="%3."/>
      <w:lvlJc w:val="left"/>
      <w:pPr>
        <w:ind w:left="1020" w:hanging="360"/>
      </w:pPr>
    </w:lvl>
    <w:lvl w:ilvl="3" w:tplc="EBCA3812">
      <w:start w:val="1"/>
      <w:numFmt w:val="decimal"/>
      <w:lvlText w:val="%4."/>
      <w:lvlJc w:val="left"/>
      <w:pPr>
        <w:ind w:left="1020" w:hanging="360"/>
      </w:pPr>
    </w:lvl>
    <w:lvl w:ilvl="4" w:tplc="9BCA0CD4">
      <w:start w:val="1"/>
      <w:numFmt w:val="decimal"/>
      <w:lvlText w:val="%5."/>
      <w:lvlJc w:val="left"/>
      <w:pPr>
        <w:ind w:left="1020" w:hanging="360"/>
      </w:pPr>
    </w:lvl>
    <w:lvl w:ilvl="5" w:tplc="7856F1A6">
      <w:start w:val="1"/>
      <w:numFmt w:val="decimal"/>
      <w:lvlText w:val="%6."/>
      <w:lvlJc w:val="left"/>
      <w:pPr>
        <w:ind w:left="1020" w:hanging="360"/>
      </w:pPr>
    </w:lvl>
    <w:lvl w:ilvl="6" w:tplc="15441BAE">
      <w:start w:val="1"/>
      <w:numFmt w:val="decimal"/>
      <w:lvlText w:val="%7."/>
      <w:lvlJc w:val="left"/>
      <w:pPr>
        <w:ind w:left="1020" w:hanging="360"/>
      </w:pPr>
    </w:lvl>
    <w:lvl w:ilvl="7" w:tplc="3F76DEFC">
      <w:start w:val="1"/>
      <w:numFmt w:val="decimal"/>
      <w:lvlText w:val="%8."/>
      <w:lvlJc w:val="left"/>
      <w:pPr>
        <w:ind w:left="1020" w:hanging="360"/>
      </w:pPr>
    </w:lvl>
    <w:lvl w:ilvl="8" w:tplc="001EFAD8">
      <w:start w:val="1"/>
      <w:numFmt w:val="decimal"/>
      <w:lvlText w:val="%9."/>
      <w:lvlJc w:val="left"/>
      <w:pPr>
        <w:ind w:left="1020" w:hanging="360"/>
      </w:pPr>
    </w:lvl>
  </w:abstractNum>
  <w:abstractNum w:abstractNumId="64" w15:restartNumberingAfterBreak="0">
    <w:nsid w:val="40F36E38"/>
    <w:multiLevelType w:val="hybridMultilevel"/>
    <w:tmpl w:val="557CEFD6"/>
    <w:lvl w:ilvl="0" w:tplc="040C0001">
      <w:start w:val="1"/>
      <w:numFmt w:val="bullet"/>
      <w:lvlText w:val=""/>
      <w:lvlJc w:val="left"/>
      <w:pPr>
        <w:ind w:left="720" w:hanging="360"/>
      </w:pPr>
      <w:rPr>
        <w:rFonts w:ascii="Symbol" w:hAnsi="Symbol" w:hint="default"/>
      </w:rPr>
    </w:lvl>
    <w:lvl w:ilvl="1" w:tplc="040C000B">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41AE7D52"/>
    <w:multiLevelType w:val="hybridMultilevel"/>
    <w:tmpl w:val="FE8E1110"/>
    <w:lvl w:ilvl="0" w:tplc="F3244E02">
      <w:start w:val="1"/>
      <w:numFmt w:val="decimal"/>
      <w:lvlText w:val="%1."/>
      <w:lvlJc w:val="left"/>
      <w:pPr>
        <w:ind w:left="1020" w:hanging="360"/>
      </w:pPr>
    </w:lvl>
    <w:lvl w:ilvl="1" w:tplc="0D303D2C">
      <w:start w:val="1"/>
      <w:numFmt w:val="decimal"/>
      <w:lvlText w:val="%2."/>
      <w:lvlJc w:val="left"/>
      <w:pPr>
        <w:ind w:left="1020" w:hanging="360"/>
      </w:pPr>
    </w:lvl>
    <w:lvl w:ilvl="2" w:tplc="11CAEAC8">
      <w:start w:val="1"/>
      <w:numFmt w:val="decimal"/>
      <w:lvlText w:val="%3."/>
      <w:lvlJc w:val="left"/>
      <w:pPr>
        <w:ind w:left="1020" w:hanging="360"/>
      </w:pPr>
    </w:lvl>
    <w:lvl w:ilvl="3" w:tplc="9DA65854">
      <w:start w:val="1"/>
      <w:numFmt w:val="decimal"/>
      <w:lvlText w:val="%4."/>
      <w:lvlJc w:val="left"/>
      <w:pPr>
        <w:ind w:left="1020" w:hanging="360"/>
      </w:pPr>
    </w:lvl>
    <w:lvl w:ilvl="4" w:tplc="0A6C2924">
      <w:start w:val="1"/>
      <w:numFmt w:val="decimal"/>
      <w:lvlText w:val="%5."/>
      <w:lvlJc w:val="left"/>
      <w:pPr>
        <w:ind w:left="1020" w:hanging="360"/>
      </w:pPr>
    </w:lvl>
    <w:lvl w:ilvl="5" w:tplc="B69608AE">
      <w:start w:val="1"/>
      <w:numFmt w:val="decimal"/>
      <w:lvlText w:val="%6."/>
      <w:lvlJc w:val="left"/>
      <w:pPr>
        <w:ind w:left="1020" w:hanging="360"/>
      </w:pPr>
    </w:lvl>
    <w:lvl w:ilvl="6" w:tplc="72801170">
      <w:start w:val="1"/>
      <w:numFmt w:val="decimal"/>
      <w:lvlText w:val="%7."/>
      <w:lvlJc w:val="left"/>
      <w:pPr>
        <w:ind w:left="1020" w:hanging="360"/>
      </w:pPr>
    </w:lvl>
    <w:lvl w:ilvl="7" w:tplc="5466546C">
      <w:start w:val="1"/>
      <w:numFmt w:val="decimal"/>
      <w:lvlText w:val="%8."/>
      <w:lvlJc w:val="left"/>
      <w:pPr>
        <w:ind w:left="1020" w:hanging="360"/>
      </w:pPr>
    </w:lvl>
    <w:lvl w:ilvl="8" w:tplc="3126C3CA">
      <w:start w:val="1"/>
      <w:numFmt w:val="decimal"/>
      <w:lvlText w:val="%9."/>
      <w:lvlJc w:val="left"/>
      <w:pPr>
        <w:ind w:left="1020" w:hanging="360"/>
      </w:pPr>
    </w:lvl>
  </w:abstractNum>
  <w:abstractNum w:abstractNumId="66" w15:restartNumberingAfterBreak="0">
    <w:nsid w:val="431070C8"/>
    <w:multiLevelType w:val="hybridMultilevel"/>
    <w:tmpl w:val="E5688314"/>
    <w:lvl w:ilvl="0" w:tplc="FDD2EA2A">
      <w:start w:val="1"/>
      <w:numFmt w:val="bullet"/>
      <w:lvlText w:val="•"/>
      <w:lvlJc w:val="left"/>
      <w:pPr>
        <w:tabs>
          <w:tab w:val="num" w:pos="720"/>
        </w:tabs>
        <w:ind w:left="720" w:hanging="360"/>
      </w:pPr>
      <w:rPr>
        <w:rFonts w:ascii="Arial" w:hAnsi="Arial" w:hint="default"/>
      </w:rPr>
    </w:lvl>
    <w:lvl w:ilvl="1" w:tplc="05CE29B8" w:tentative="1">
      <w:start w:val="1"/>
      <w:numFmt w:val="bullet"/>
      <w:lvlText w:val="•"/>
      <w:lvlJc w:val="left"/>
      <w:pPr>
        <w:tabs>
          <w:tab w:val="num" w:pos="1440"/>
        </w:tabs>
        <w:ind w:left="1440" w:hanging="360"/>
      </w:pPr>
      <w:rPr>
        <w:rFonts w:ascii="Arial" w:hAnsi="Arial" w:hint="default"/>
      </w:rPr>
    </w:lvl>
    <w:lvl w:ilvl="2" w:tplc="05C0EBB4" w:tentative="1">
      <w:start w:val="1"/>
      <w:numFmt w:val="bullet"/>
      <w:lvlText w:val="•"/>
      <w:lvlJc w:val="left"/>
      <w:pPr>
        <w:tabs>
          <w:tab w:val="num" w:pos="2160"/>
        </w:tabs>
        <w:ind w:left="2160" w:hanging="360"/>
      </w:pPr>
      <w:rPr>
        <w:rFonts w:ascii="Arial" w:hAnsi="Arial" w:hint="default"/>
      </w:rPr>
    </w:lvl>
    <w:lvl w:ilvl="3" w:tplc="0EC87658" w:tentative="1">
      <w:start w:val="1"/>
      <w:numFmt w:val="bullet"/>
      <w:lvlText w:val="•"/>
      <w:lvlJc w:val="left"/>
      <w:pPr>
        <w:tabs>
          <w:tab w:val="num" w:pos="2880"/>
        </w:tabs>
        <w:ind w:left="2880" w:hanging="360"/>
      </w:pPr>
      <w:rPr>
        <w:rFonts w:ascii="Arial" w:hAnsi="Arial" w:hint="default"/>
      </w:rPr>
    </w:lvl>
    <w:lvl w:ilvl="4" w:tplc="922C3530" w:tentative="1">
      <w:start w:val="1"/>
      <w:numFmt w:val="bullet"/>
      <w:lvlText w:val="•"/>
      <w:lvlJc w:val="left"/>
      <w:pPr>
        <w:tabs>
          <w:tab w:val="num" w:pos="3600"/>
        </w:tabs>
        <w:ind w:left="3600" w:hanging="360"/>
      </w:pPr>
      <w:rPr>
        <w:rFonts w:ascii="Arial" w:hAnsi="Arial" w:hint="default"/>
      </w:rPr>
    </w:lvl>
    <w:lvl w:ilvl="5" w:tplc="D7F8BD24" w:tentative="1">
      <w:start w:val="1"/>
      <w:numFmt w:val="bullet"/>
      <w:lvlText w:val="•"/>
      <w:lvlJc w:val="left"/>
      <w:pPr>
        <w:tabs>
          <w:tab w:val="num" w:pos="4320"/>
        </w:tabs>
        <w:ind w:left="4320" w:hanging="360"/>
      </w:pPr>
      <w:rPr>
        <w:rFonts w:ascii="Arial" w:hAnsi="Arial" w:hint="default"/>
      </w:rPr>
    </w:lvl>
    <w:lvl w:ilvl="6" w:tplc="A30EDAC0" w:tentative="1">
      <w:start w:val="1"/>
      <w:numFmt w:val="bullet"/>
      <w:lvlText w:val="•"/>
      <w:lvlJc w:val="left"/>
      <w:pPr>
        <w:tabs>
          <w:tab w:val="num" w:pos="5040"/>
        </w:tabs>
        <w:ind w:left="5040" w:hanging="360"/>
      </w:pPr>
      <w:rPr>
        <w:rFonts w:ascii="Arial" w:hAnsi="Arial" w:hint="default"/>
      </w:rPr>
    </w:lvl>
    <w:lvl w:ilvl="7" w:tplc="9EE2B568" w:tentative="1">
      <w:start w:val="1"/>
      <w:numFmt w:val="bullet"/>
      <w:lvlText w:val="•"/>
      <w:lvlJc w:val="left"/>
      <w:pPr>
        <w:tabs>
          <w:tab w:val="num" w:pos="5760"/>
        </w:tabs>
        <w:ind w:left="5760" w:hanging="360"/>
      </w:pPr>
      <w:rPr>
        <w:rFonts w:ascii="Arial" w:hAnsi="Arial" w:hint="default"/>
      </w:rPr>
    </w:lvl>
    <w:lvl w:ilvl="8" w:tplc="062C38D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45A1051D"/>
    <w:multiLevelType w:val="hybridMultilevel"/>
    <w:tmpl w:val="7F8227EA"/>
    <w:lvl w:ilvl="0" w:tplc="9A38F8BC">
      <w:start w:val="1"/>
      <w:numFmt w:val="bullet"/>
      <w:lvlText w:val="-"/>
      <w:lvlJc w:val="left"/>
      <w:pPr>
        <w:ind w:left="1068" w:hanging="360"/>
      </w:pPr>
      <w:rPr>
        <w:rFonts w:ascii="Aptos" w:hAnsi="Aptos" w:hint="default"/>
      </w:rPr>
    </w:lvl>
    <w:lvl w:ilvl="1" w:tplc="D3E810DE">
      <w:start w:val="1"/>
      <w:numFmt w:val="bullet"/>
      <w:lvlText w:val="o"/>
      <w:lvlJc w:val="left"/>
      <w:pPr>
        <w:ind w:left="1788" w:hanging="360"/>
      </w:pPr>
      <w:rPr>
        <w:rFonts w:ascii="Courier New" w:hAnsi="Courier New" w:hint="default"/>
      </w:rPr>
    </w:lvl>
    <w:lvl w:ilvl="2" w:tplc="67AA41EC">
      <w:start w:val="1"/>
      <w:numFmt w:val="bullet"/>
      <w:lvlText w:val=""/>
      <w:lvlJc w:val="left"/>
      <w:pPr>
        <w:ind w:left="2508" w:hanging="360"/>
      </w:pPr>
      <w:rPr>
        <w:rFonts w:ascii="Wingdings" w:hAnsi="Wingdings" w:hint="default"/>
      </w:rPr>
    </w:lvl>
    <w:lvl w:ilvl="3" w:tplc="79BE03BA">
      <w:start w:val="1"/>
      <w:numFmt w:val="bullet"/>
      <w:lvlText w:val=""/>
      <w:lvlJc w:val="left"/>
      <w:pPr>
        <w:ind w:left="3228" w:hanging="360"/>
      </w:pPr>
      <w:rPr>
        <w:rFonts w:ascii="Symbol" w:hAnsi="Symbol" w:hint="default"/>
      </w:rPr>
    </w:lvl>
    <w:lvl w:ilvl="4" w:tplc="477016F8">
      <w:start w:val="1"/>
      <w:numFmt w:val="bullet"/>
      <w:lvlText w:val="o"/>
      <w:lvlJc w:val="left"/>
      <w:pPr>
        <w:ind w:left="3948" w:hanging="360"/>
      </w:pPr>
      <w:rPr>
        <w:rFonts w:ascii="Courier New" w:hAnsi="Courier New" w:hint="default"/>
      </w:rPr>
    </w:lvl>
    <w:lvl w:ilvl="5" w:tplc="70BC5994">
      <w:start w:val="1"/>
      <w:numFmt w:val="bullet"/>
      <w:lvlText w:val=""/>
      <w:lvlJc w:val="left"/>
      <w:pPr>
        <w:ind w:left="4668" w:hanging="360"/>
      </w:pPr>
      <w:rPr>
        <w:rFonts w:ascii="Wingdings" w:hAnsi="Wingdings" w:hint="default"/>
      </w:rPr>
    </w:lvl>
    <w:lvl w:ilvl="6" w:tplc="16D2D8F4">
      <w:start w:val="1"/>
      <w:numFmt w:val="bullet"/>
      <w:lvlText w:val=""/>
      <w:lvlJc w:val="left"/>
      <w:pPr>
        <w:ind w:left="5388" w:hanging="360"/>
      </w:pPr>
      <w:rPr>
        <w:rFonts w:ascii="Symbol" w:hAnsi="Symbol" w:hint="default"/>
      </w:rPr>
    </w:lvl>
    <w:lvl w:ilvl="7" w:tplc="B4EEA498">
      <w:start w:val="1"/>
      <w:numFmt w:val="bullet"/>
      <w:lvlText w:val="o"/>
      <w:lvlJc w:val="left"/>
      <w:pPr>
        <w:ind w:left="6108" w:hanging="360"/>
      </w:pPr>
      <w:rPr>
        <w:rFonts w:ascii="Courier New" w:hAnsi="Courier New" w:hint="default"/>
      </w:rPr>
    </w:lvl>
    <w:lvl w:ilvl="8" w:tplc="E55E0664">
      <w:start w:val="1"/>
      <w:numFmt w:val="bullet"/>
      <w:lvlText w:val=""/>
      <w:lvlJc w:val="left"/>
      <w:pPr>
        <w:ind w:left="6828" w:hanging="360"/>
      </w:pPr>
      <w:rPr>
        <w:rFonts w:ascii="Wingdings" w:hAnsi="Wingdings" w:hint="default"/>
      </w:rPr>
    </w:lvl>
  </w:abstractNum>
  <w:abstractNum w:abstractNumId="68" w15:restartNumberingAfterBreak="0">
    <w:nsid w:val="46ED37A5"/>
    <w:multiLevelType w:val="hybridMultilevel"/>
    <w:tmpl w:val="D250D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7D61DC0"/>
    <w:multiLevelType w:val="hybridMultilevel"/>
    <w:tmpl w:val="17B604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A3E78A9"/>
    <w:multiLevelType w:val="hybridMultilevel"/>
    <w:tmpl w:val="A042A896"/>
    <w:lvl w:ilvl="0" w:tplc="1C8A42EC">
      <w:start w:val="1"/>
      <w:numFmt w:val="decimal"/>
      <w:lvlText w:val="%1."/>
      <w:lvlJc w:val="left"/>
      <w:pPr>
        <w:ind w:left="1020" w:hanging="360"/>
      </w:pPr>
    </w:lvl>
    <w:lvl w:ilvl="1" w:tplc="D5E8A6DC">
      <w:start w:val="1"/>
      <w:numFmt w:val="decimal"/>
      <w:lvlText w:val="%2."/>
      <w:lvlJc w:val="left"/>
      <w:pPr>
        <w:ind w:left="1020" w:hanging="360"/>
      </w:pPr>
    </w:lvl>
    <w:lvl w:ilvl="2" w:tplc="EDCC3E44">
      <w:start w:val="1"/>
      <w:numFmt w:val="decimal"/>
      <w:lvlText w:val="%3."/>
      <w:lvlJc w:val="left"/>
      <w:pPr>
        <w:ind w:left="1020" w:hanging="360"/>
      </w:pPr>
    </w:lvl>
    <w:lvl w:ilvl="3" w:tplc="07A245AE">
      <w:start w:val="1"/>
      <w:numFmt w:val="decimal"/>
      <w:lvlText w:val="%4."/>
      <w:lvlJc w:val="left"/>
      <w:pPr>
        <w:ind w:left="1020" w:hanging="360"/>
      </w:pPr>
    </w:lvl>
    <w:lvl w:ilvl="4" w:tplc="B3042F0A">
      <w:start w:val="1"/>
      <w:numFmt w:val="decimal"/>
      <w:lvlText w:val="%5."/>
      <w:lvlJc w:val="left"/>
      <w:pPr>
        <w:ind w:left="1020" w:hanging="360"/>
      </w:pPr>
    </w:lvl>
    <w:lvl w:ilvl="5" w:tplc="E910BE8A">
      <w:start w:val="1"/>
      <w:numFmt w:val="decimal"/>
      <w:lvlText w:val="%6."/>
      <w:lvlJc w:val="left"/>
      <w:pPr>
        <w:ind w:left="1020" w:hanging="360"/>
      </w:pPr>
    </w:lvl>
    <w:lvl w:ilvl="6" w:tplc="40044D3C">
      <w:start w:val="1"/>
      <w:numFmt w:val="decimal"/>
      <w:lvlText w:val="%7."/>
      <w:lvlJc w:val="left"/>
      <w:pPr>
        <w:ind w:left="1020" w:hanging="360"/>
      </w:pPr>
    </w:lvl>
    <w:lvl w:ilvl="7" w:tplc="6A04A83C">
      <w:start w:val="1"/>
      <w:numFmt w:val="decimal"/>
      <w:lvlText w:val="%8."/>
      <w:lvlJc w:val="left"/>
      <w:pPr>
        <w:ind w:left="1020" w:hanging="360"/>
      </w:pPr>
    </w:lvl>
    <w:lvl w:ilvl="8" w:tplc="84E4C274">
      <w:start w:val="1"/>
      <w:numFmt w:val="decimal"/>
      <w:lvlText w:val="%9."/>
      <w:lvlJc w:val="left"/>
      <w:pPr>
        <w:ind w:left="1020" w:hanging="360"/>
      </w:pPr>
    </w:lvl>
  </w:abstractNum>
  <w:abstractNum w:abstractNumId="71" w15:restartNumberingAfterBreak="0">
    <w:nsid w:val="4A463627"/>
    <w:multiLevelType w:val="hybridMultilevel"/>
    <w:tmpl w:val="84BEE4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4A5C7CC3"/>
    <w:multiLevelType w:val="hybridMultilevel"/>
    <w:tmpl w:val="37843E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ABB3D9E"/>
    <w:multiLevelType w:val="multilevel"/>
    <w:tmpl w:val="040C001D"/>
    <w:styleLink w:val="Listeactuel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EAC73A5"/>
    <w:multiLevelType w:val="hybridMultilevel"/>
    <w:tmpl w:val="F578BBAC"/>
    <w:lvl w:ilvl="0" w:tplc="C14623D4">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5" w15:restartNumberingAfterBreak="0">
    <w:nsid w:val="4EFF5642"/>
    <w:multiLevelType w:val="hybridMultilevel"/>
    <w:tmpl w:val="B85EA26E"/>
    <w:lvl w:ilvl="0" w:tplc="07A0F748">
      <w:start w:val="1"/>
      <w:numFmt w:val="bullet"/>
      <w:lvlText w:val="•"/>
      <w:lvlJc w:val="left"/>
      <w:pPr>
        <w:tabs>
          <w:tab w:val="num" w:pos="720"/>
        </w:tabs>
        <w:ind w:left="720" w:hanging="360"/>
      </w:pPr>
      <w:rPr>
        <w:rFonts w:ascii="Arial" w:hAnsi="Arial" w:hint="default"/>
      </w:rPr>
    </w:lvl>
    <w:lvl w:ilvl="1" w:tplc="0B6C7DEA">
      <w:start w:val="1"/>
      <w:numFmt w:val="bullet"/>
      <w:lvlText w:val="•"/>
      <w:lvlJc w:val="left"/>
      <w:pPr>
        <w:tabs>
          <w:tab w:val="num" w:pos="1440"/>
        </w:tabs>
        <w:ind w:left="1440" w:hanging="360"/>
      </w:pPr>
      <w:rPr>
        <w:rFonts w:ascii="Arial" w:hAnsi="Arial" w:hint="default"/>
      </w:rPr>
    </w:lvl>
    <w:lvl w:ilvl="2" w:tplc="213AF068" w:tentative="1">
      <w:start w:val="1"/>
      <w:numFmt w:val="bullet"/>
      <w:lvlText w:val="•"/>
      <w:lvlJc w:val="left"/>
      <w:pPr>
        <w:tabs>
          <w:tab w:val="num" w:pos="2160"/>
        </w:tabs>
        <w:ind w:left="2160" w:hanging="360"/>
      </w:pPr>
      <w:rPr>
        <w:rFonts w:ascii="Arial" w:hAnsi="Arial" w:hint="default"/>
      </w:rPr>
    </w:lvl>
    <w:lvl w:ilvl="3" w:tplc="5DCCF136" w:tentative="1">
      <w:start w:val="1"/>
      <w:numFmt w:val="bullet"/>
      <w:lvlText w:val="•"/>
      <w:lvlJc w:val="left"/>
      <w:pPr>
        <w:tabs>
          <w:tab w:val="num" w:pos="2880"/>
        </w:tabs>
        <w:ind w:left="2880" w:hanging="360"/>
      </w:pPr>
      <w:rPr>
        <w:rFonts w:ascii="Arial" w:hAnsi="Arial" w:hint="default"/>
      </w:rPr>
    </w:lvl>
    <w:lvl w:ilvl="4" w:tplc="6EB21294" w:tentative="1">
      <w:start w:val="1"/>
      <w:numFmt w:val="bullet"/>
      <w:lvlText w:val="•"/>
      <w:lvlJc w:val="left"/>
      <w:pPr>
        <w:tabs>
          <w:tab w:val="num" w:pos="3600"/>
        </w:tabs>
        <w:ind w:left="3600" w:hanging="360"/>
      </w:pPr>
      <w:rPr>
        <w:rFonts w:ascii="Arial" w:hAnsi="Arial" w:hint="default"/>
      </w:rPr>
    </w:lvl>
    <w:lvl w:ilvl="5" w:tplc="09880C78" w:tentative="1">
      <w:start w:val="1"/>
      <w:numFmt w:val="bullet"/>
      <w:lvlText w:val="•"/>
      <w:lvlJc w:val="left"/>
      <w:pPr>
        <w:tabs>
          <w:tab w:val="num" w:pos="4320"/>
        </w:tabs>
        <w:ind w:left="4320" w:hanging="360"/>
      </w:pPr>
      <w:rPr>
        <w:rFonts w:ascii="Arial" w:hAnsi="Arial" w:hint="default"/>
      </w:rPr>
    </w:lvl>
    <w:lvl w:ilvl="6" w:tplc="AD1C7C68" w:tentative="1">
      <w:start w:val="1"/>
      <w:numFmt w:val="bullet"/>
      <w:lvlText w:val="•"/>
      <w:lvlJc w:val="left"/>
      <w:pPr>
        <w:tabs>
          <w:tab w:val="num" w:pos="5040"/>
        </w:tabs>
        <w:ind w:left="5040" w:hanging="360"/>
      </w:pPr>
      <w:rPr>
        <w:rFonts w:ascii="Arial" w:hAnsi="Arial" w:hint="default"/>
      </w:rPr>
    </w:lvl>
    <w:lvl w:ilvl="7" w:tplc="459E2170" w:tentative="1">
      <w:start w:val="1"/>
      <w:numFmt w:val="bullet"/>
      <w:lvlText w:val="•"/>
      <w:lvlJc w:val="left"/>
      <w:pPr>
        <w:tabs>
          <w:tab w:val="num" w:pos="5760"/>
        </w:tabs>
        <w:ind w:left="5760" w:hanging="360"/>
      </w:pPr>
      <w:rPr>
        <w:rFonts w:ascii="Arial" w:hAnsi="Arial" w:hint="default"/>
      </w:rPr>
    </w:lvl>
    <w:lvl w:ilvl="8" w:tplc="1A3A6C9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F367E8A"/>
    <w:multiLevelType w:val="hybridMultilevel"/>
    <w:tmpl w:val="7B7E254A"/>
    <w:lvl w:ilvl="0" w:tplc="011E214A">
      <w:start w:val="1"/>
      <w:numFmt w:val="decimal"/>
      <w:lvlText w:val="%1."/>
      <w:lvlJc w:val="left"/>
      <w:pPr>
        <w:ind w:left="1020" w:hanging="360"/>
      </w:pPr>
    </w:lvl>
    <w:lvl w:ilvl="1" w:tplc="56BAA47A">
      <w:start w:val="1"/>
      <w:numFmt w:val="decimal"/>
      <w:lvlText w:val="%2."/>
      <w:lvlJc w:val="left"/>
      <w:pPr>
        <w:ind w:left="1020" w:hanging="360"/>
      </w:pPr>
    </w:lvl>
    <w:lvl w:ilvl="2" w:tplc="54E8B4DC">
      <w:start w:val="1"/>
      <w:numFmt w:val="decimal"/>
      <w:lvlText w:val="%3."/>
      <w:lvlJc w:val="left"/>
      <w:pPr>
        <w:ind w:left="1020" w:hanging="360"/>
      </w:pPr>
    </w:lvl>
    <w:lvl w:ilvl="3" w:tplc="E6C00D88">
      <w:start w:val="1"/>
      <w:numFmt w:val="decimal"/>
      <w:lvlText w:val="%4."/>
      <w:lvlJc w:val="left"/>
      <w:pPr>
        <w:ind w:left="1020" w:hanging="360"/>
      </w:pPr>
    </w:lvl>
    <w:lvl w:ilvl="4" w:tplc="889E8ACC">
      <w:start w:val="1"/>
      <w:numFmt w:val="decimal"/>
      <w:lvlText w:val="%5."/>
      <w:lvlJc w:val="left"/>
      <w:pPr>
        <w:ind w:left="1020" w:hanging="360"/>
      </w:pPr>
    </w:lvl>
    <w:lvl w:ilvl="5" w:tplc="3DE00AB2">
      <w:start w:val="1"/>
      <w:numFmt w:val="decimal"/>
      <w:lvlText w:val="%6."/>
      <w:lvlJc w:val="left"/>
      <w:pPr>
        <w:ind w:left="1020" w:hanging="360"/>
      </w:pPr>
    </w:lvl>
    <w:lvl w:ilvl="6" w:tplc="8B9A33F8">
      <w:start w:val="1"/>
      <w:numFmt w:val="decimal"/>
      <w:lvlText w:val="%7."/>
      <w:lvlJc w:val="left"/>
      <w:pPr>
        <w:ind w:left="1020" w:hanging="360"/>
      </w:pPr>
    </w:lvl>
    <w:lvl w:ilvl="7" w:tplc="0A9C8320">
      <w:start w:val="1"/>
      <w:numFmt w:val="decimal"/>
      <w:lvlText w:val="%8."/>
      <w:lvlJc w:val="left"/>
      <w:pPr>
        <w:ind w:left="1020" w:hanging="360"/>
      </w:pPr>
    </w:lvl>
    <w:lvl w:ilvl="8" w:tplc="F8E27B02">
      <w:start w:val="1"/>
      <w:numFmt w:val="decimal"/>
      <w:lvlText w:val="%9."/>
      <w:lvlJc w:val="left"/>
      <w:pPr>
        <w:ind w:left="1020" w:hanging="360"/>
      </w:pPr>
    </w:lvl>
  </w:abstractNum>
  <w:abstractNum w:abstractNumId="77" w15:restartNumberingAfterBreak="0">
    <w:nsid w:val="51167AB3"/>
    <w:multiLevelType w:val="hybridMultilevel"/>
    <w:tmpl w:val="0FA4847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8" w15:restartNumberingAfterBreak="0">
    <w:nsid w:val="51A9784F"/>
    <w:multiLevelType w:val="hybridMultilevel"/>
    <w:tmpl w:val="87B846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51CA6F9C"/>
    <w:multiLevelType w:val="hybridMultilevel"/>
    <w:tmpl w:val="08F87EB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5C945F0A"/>
    <w:multiLevelType w:val="hybridMultilevel"/>
    <w:tmpl w:val="0B809510"/>
    <w:lvl w:ilvl="0" w:tplc="040C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0" w:hanging="360"/>
      </w:pPr>
      <w:rPr>
        <w:rFonts w:ascii="Courier New" w:hAnsi="Courier New" w:cs="Courier New" w:hint="default"/>
      </w:rPr>
    </w:lvl>
    <w:lvl w:ilvl="2" w:tplc="040C0001">
      <w:start w:val="1"/>
      <w:numFmt w:val="bullet"/>
      <w:lvlText w:val=""/>
      <w:lvlJc w:val="left"/>
      <w:pPr>
        <w:ind w:left="720" w:hanging="360"/>
      </w:pPr>
      <w:rPr>
        <w:rFonts w:ascii="Symbol" w:hAnsi="Symbol"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81" w15:restartNumberingAfterBreak="0">
    <w:nsid w:val="5CB3FEB8"/>
    <w:multiLevelType w:val="hybridMultilevel"/>
    <w:tmpl w:val="FBE64EDC"/>
    <w:lvl w:ilvl="0" w:tplc="AE686FF4">
      <w:start w:val="1"/>
      <w:numFmt w:val="bullet"/>
      <w:lvlText w:val="-"/>
      <w:lvlJc w:val="left"/>
      <w:pPr>
        <w:ind w:left="720" w:hanging="360"/>
      </w:pPr>
      <w:rPr>
        <w:rFonts w:ascii="Aptos" w:hAnsi="Aptos" w:hint="default"/>
      </w:rPr>
    </w:lvl>
    <w:lvl w:ilvl="1" w:tplc="6F0E03AA">
      <w:start w:val="1"/>
      <w:numFmt w:val="bullet"/>
      <w:lvlText w:val="o"/>
      <w:lvlJc w:val="left"/>
      <w:pPr>
        <w:ind w:left="1440" w:hanging="360"/>
      </w:pPr>
      <w:rPr>
        <w:rFonts w:ascii="Courier New" w:hAnsi="Courier New" w:hint="default"/>
      </w:rPr>
    </w:lvl>
    <w:lvl w:ilvl="2" w:tplc="045235FE">
      <w:start w:val="1"/>
      <w:numFmt w:val="bullet"/>
      <w:lvlText w:val=""/>
      <w:lvlJc w:val="left"/>
      <w:pPr>
        <w:ind w:left="2160" w:hanging="360"/>
      </w:pPr>
      <w:rPr>
        <w:rFonts w:ascii="Wingdings" w:hAnsi="Wingdings" w:hint="default"/>
      </w:rPr>
    </w:lvl>
    <w:lvl w:ilvl="3" w:tplc="BEA8D76C">
      <w:start w:val="1"/>
      <w:numFmt w:val="bullet"/>
      <w:lvlText w:val=""/>
      <w:lvlJc w:val="left"/>
      <w:pPr>
        <w:ind w:left="2880" w:hanging="360"/>
      </w:pPr>
      <w:rPr>
        <w:rFonts w:ascii="Symbol" w:hAnsi="Symbol" w:hint="default"/>
      </w:rPr>
    </w:lvl>
    <w:lvl w:ilvl="4" w:tplc="DB2EF22E">
      <w:start w:val="1"/>
      <w:numFmt w:val="bullet"/>
      <w:lvlText w:val="o"/>
      <w:lvlJc w:val="left"/>
      <w:pPr>
        <w:ind w:left="3600" w:hanging="360"/>
      </w:pPr>
      <w:rPr>
        <w:rFonts w:ascii="Courier New" w:hAnsi="Courier New" w:hint="default"/>
      </w:rPr>
    </w:lvl>
    <w:lvl w:ilvl="5" w:tplc="507ADC64">
      <w:start w:val="1"/>
      <w:numFmt w:val="bullet"/>
      <w:lvlText w:val=""/>
      <w:lvlJc w:val="left"/>
      <w:pPr>
        <w:ind w:left="4320" w:hanging="360"/>
      </w:pPr>
      <w:rPr>
        <w:rFonts w:ascii="Wingdings" w:hAnsi="Wingdings" w:hint="default"/>
      </w:rPr>
    </w:lvl>
    <w:lvl w:ilvl="6" w:tplc="7264FF72">
      <w:start w:val="1"/>
      <w:numFmt w:val="bullet"/>
      <w:lvlText w:val=""/>
      <w:lvlJc w:val="left"/>
      <w:pPr>
        <w:ind w:left="5040" w:hanging="360"/>
      </w:pPr>
      <w:rPr>
        <w:rFonts w:ascii="Symbol" w:hAnsi="Symbol" w:hint="default"/>
      </w:rPr>
    </w:lvl>
    <w:lvl w:ilvl="7" w:tplc="73F281F6">
      <w:start w:val="1"/>
      <w:numFmt w:val="bullet"/>
      <w:lvlText w:val="o"/>
      <w:lvlJc w:val="left"/>
      <w:pPr>
        <w:ind w:left="5760" w:hanging="360"/>
      </w:pPr>
      <w:rPr>
        <w:rFonts w:ascii="Courier New" w:hAnsi="Courier New" w:hint="default"/>
      </w:rPr>
    </w:lvl>
    <w:lvl w:ilvl="8" w:tplc="3D72A8D8">
      <w:start w:val="1"/>
      <w:numFmt w:val="bullet"/>
      <w:lvlText w:val=""/>
      <w:lvlJc w:val="left"/>
      <w:pPr>
        <w:ind w:left="6480" w:hanging="360"/>
      </w:pPr>
      <w:rPr>
        <w:rFonts w:ascii="Wingdings" w:hAnsi="Wingdings" w:hint="default"/>
      </w:rPr>
    </w:lvl>
  </w:abstractNum>
  <w:abstractNum w:abstractNumId="82" w15:restartNumberingAfterBreak="0">
    <w:nsid w:val="5CB72F72"/>
    <w:multiLevelType w:val="hybridMultilevel"/>
    <w:tmpl w:val="9FA4E1B8"/>
    <w:lvl w:ilvl="0" w:tplc="040C0001">
      <w:start w:val="1"/>
      <w:numFmt w:val="bullet"/>
      <w:lvlText w:val=""/>
      <w:lvlJc w:val="left"/>
      <w:pPr>
        <w:ind w:left="774" w:hanging="360"/>
      </w:pPr>
      <w:rPr>
        <w:rFonts w:ascii="Symbol" w:hAnsi="Symbol"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83" w15:restartNumberingAfterBreak="0">
    <w:nsid w:val="5D455EC5"/>
    <w:multiLevelType w:val="hybridMultilevel"/>
    <w:tmpl w:val="FA36A6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5F88698A"/>
    <w:multiLevelType w:val="hybridMultilevel"/>
    <w:tmpl w:val="79DA4680"/>
    <w:lvl w:ilvl="0" w:tplc="1BE8008C">
      <w:start w:val="1"/>
      <w:numFmt w:val="bullet"/>
      <w:lvlText w:val="-"/>
      <w:lvlJc w:val="left"/>
      <w:pPr>
        <w:ind w:left="1068" w:hanging="360"/>
      </w:pPr>
      <w:rPr>
        <w:rFonts w:ascii="Aptos" w:hAnsi="Aptos" w:hint="default"/>
      </w:rPr>
    </w:lvl>
    <w:lvl w:ilvl="1" w:tplc="5600AFAE">
      <w:start w:val="1"/>
      <w:numFmt w:val="bullet"/>
      <w:lvlText w:val="o"/>
      <w:lvlJc w:val="left"/>
      <w:pPr>
        <w:ind w:left="1788" w:hanging="360"/>
      </w:pPr>
      <w:rPr>
        <w:rFonts w:ascii="Courier New" w:hAnsi="Courier New" w:hint="default"/>
      </w:rPr>
    </w:lvl>
    <w:lvl w:ilvl="2" w:tplc="38A81376">
      <w:start w:val="1"/>
      <w:numFmt w:val="bullet"/>
      <w:lvlText w:val=""/>
      <w:lvlJc w:val="left"/>
      <w:pPr>
        <w:ind w:left="2508" w:hanging="360"/>
      </w:pPr>
      <w:rPr>
        <w:rFonts w:ascii="Wingdings" w:hAnsi="Wingdings" w:hint="default"/>
      </w:rPr>
    </w:lvl>
    <w:lvl w:ilvl="3" w:tplc="17A0B604">
      <w:start w:val="1"/>
      <w:numFmt w:val="bullet"/>
      <w:lvlText w:val=""/>
      <w:lvlJc w:val="left"/>
      <w:pPr>
        <w:ind w:left="3228" w:hanging="360"/>
      </w:pPr>
      <w:rPr>
        <w:rFonts w:ascii="Symbol" w:hAnsi="Symbol" w:hint="default"/>
      </w:rPr>
    </w:lvl>
    <w:lvl w:ilvl="4" w:tplc="5F98E1D4">
      <w:start w:val="1"/>
      <w:numFmt w:val="bullet"/>
      <w:lvlText w:val="o"/>
      <w:lvlJc w:val="left"/>
      <w:pPr>
        <w:ind w:left="3948" w:hanging="360"/>
      </w:pPr>
      <w:rPr>
        <w:rFonts w:ascii="Courier New" w:hAnsi="Courier New" w:hint="default"/>
      </w:rPr>
    </w:lvl>
    <w:lvl w:ilvl="5" w:tplc="1376FEA2">
      <w:start w:val="1"/>
      <w:numFmt w:val="bullet"/>
      <w:lvlText w:val=""/>
      <w:lvlJc w:val="left"/>
      <w:pPr>
        <w:ind w:left="4668" w:hanging="360"/>
      </w:pPr>
      <w:rPr>
        <w:rFonts w:ascii="Wingdings" w:hAnsi="Wingdings" w:hint="default"/>
      </w:rPr>
    </w:lvl>
    <w:lvl w:ilvl="6" w:tplc="1080711C">
      <w:start w:val="1"/>
      <w:numFmt w:val="bullet"/>
      <w:lvlText w:val=""/>
      <w:lvlJc w:val="left"/>
      <w:pPr>
        <w:ind w:left="5388" w:hanging="360"/>
      </w:pPr>
      <w:rPr>
        <w:rFonts w:ascii="Symbol" w:hAnsi="Symbol" w:hint="default"/>
      </w:rPr>
    </w:lvl>
    <w:lvl w:ilvl="7" w:tplc="A6F6BA8E">
      <w:start w:val="1"/>
      <w:numFmt w:val="bullet"/>
      <w:lvlText w:val="o"/>
      <w:lvlJc w:val="left"/>
      <w:pPr>
        <w:ind w:left="6108" w:hanging="360"/>
      </w:pPr>
      <w:rPr>
        <w:rFonts w:ascii="Courier New" w:hAnsi="Courier New" w:hint="default"/>
      </w:rPr>
    </w:lvl>
    <w:lvl w:ilvl="8" w:tplc="7B5CF4CC">
      <w:start w:val="1"/>
      <w:numFmt w:val="bullet"/>
      <w:lvlText w:val=""/>
      <w:lvlJc w:val="left"/>
      <w:pPr>
        <w:ind w:left="6828" w:hanging="360"/>
      </w:pPr>
      <w:rPr>
        <w:rFonts w:ascii="Wingdings" w:hAnsi="Wingdings" w:hint="default"/>
      </w:rPr>
    </w:lvl>
  </w:abstractNum>
  <w:abstractNum w:abstractNumId="85" w15:restartNumberingAfterBreak="0">
    <w:nsid w:val="5F907300"/>
    <w:multiLevelType w:val="multilevel"/>
    <w:tmpl w:val="193C8A64"/>
    <w:lvl w:ilvl="0">
      <w:start w:val="1"/>
      <w:numFmt w:val="decimal"/>
      <w:lvlText w:val="[ %1 ]"/>
      <w:lvlJc w:val="left"/>
      <w:pPr>
        <w:ind w:left="360" w:hanging="360"/>
      </w:pPr>
      <w:rPr>
        <w:rFonts w:hint="default"/>
      </w:rPr>
    </w:lvl>
    <w:lvl w:ilvl="1">
      <w:start w:val="1"/>
      <w:numFmt w:val="lowerLetter"/>
      <w:lvlText w:val="[ %1.%2 ]"/>
      <w:lvlJc w:val="left"/>
      <w:pPr>
        <w:ind w:left="720" w:hanging="360"/>
      </w:pPr>
      <w:rPr>
        <w:rFonts w:hint="default"/>
      </w:rPr>
    </w:lvl>
    <w:lvl w:ilvl="2">
      <w:start w:val="1"/>
      <w:numFmt w:val="lowerRoman"/>
      <w:lvlText w:val="[ %1.%2.%3 ]"/>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5FB61EC4"/>
    <w:multiLevelType w:val="hybridMultilevel"/>
    <w:tmpl w:val="FA78575C"/>
    <w:lvl w:ilvl="0" w:tplc="BCC686EC">
      <w:start w:val="1"/>
      <w:numFmt w:val="decimal"/>
      <w:lvlText w:val="%1."/>
      <w:lvlJc w:val="left"/>
      <w:pPr>
        <w:ind w:left="1020" w:hanging="360"/>
      </w:pPr>
    </w:lvl>
    <w:lvl w:ilvl="1" w:tplc="A9604D4C">
      <w:start w:val="1"/>
      <w:numFmt w:val="decimal"/>
      <w:lvlText w:val="%2."/>
      <w:lvlJc w:val="left"/>
      <w:pPr>
        <w:ind w:left="1020" w:hanging="360"/>
      </w:pPr>
    </w:lvl>
    <w:lvl w:ilvl="2" w:tplc="B63004D4">
      <w:start w:val="1"/>
      <w:numFmt w:val="decimal"/>
      <w:lvlText w:val="%3."/>
      <w:lvlJc w:val="left"/>
      <w:pPr>
        <w:ind w:left="1020" w:hanging="360"/>
      </w:pPr>
    </w:lvl>
    <w:lvl w:ilvl="3" w:tplc="BC30F5B0">
      <w:start w:val="1"/>
      <w:numFmt w:val="decimal"/>
      <w:lvlText w:val="%4."/>
      <w:lvlJc w:val="left"/>
      <w:pPr>
        <w:ind w:left="1020" w:hanging="360"/>
      </w:pPr>
    </w:lvl>
    <w:lvl w:ilvl="4" w:tplc="2B2CA616">
      <w:start w:val="1"/>
      <w:numFmt w:val="decimal"/>
      <w:lvlText w:val="%5."/>
      <w:lvlJc w:val="left"/>
      <w:pPr>
        <w:ind w:left="1020" w:hanging="360"/>
      </w:pPr>
    </w:lvl>
    <w:lvl w:ilvl="5" w:tplc="11FE87FA">
      <w:start w:val="1"/>
      <w:numFmt w:val="decimal"/>
      <w:lvlText w:val="%6."/>
      <w:lvlJc w:val="left"/>
      <w:pPr>
        <w:ind w:left="1020" w:hanging="360"/>
      </w:pPr>
    </w:lvl>
    <w:lvl w:ilvl="6" w:tplc="04F0AF26">
      <w:start w:val="1"/>
      <w:numFmt w:val="decimal"/>
      <w:lvlText w:val="%7."/>
      <w:lvlJc w:val="left"/>
      <w:pPr>
        <w:ind w:left="1020" w:hanging="360"/>
      </w:pPr>
    </w:lvl>
    <w:lvl w:ilvl="7" w:tplc="B95EBE02">
      <w:start w:val="1"/>
      <w:numFmt w:val="decimal"/>
      <w:lvlText w:val="%8."/>
      <w:lvlJc w:val="left"/>
      <w:pPr>
        <w:ind w:left="1020" w:hanging="360"/>
      </w:pPr>
    </w:lvl>
    <w:lvl w:ilvl="8" w:tplc="DF6259DE">
      <w:start w:val="1"/>
      <w:numFmt w:val="decimal"/>
      <w:lvlText w:val="%9."/>
      <w:lvlJc w:val="left"/>
      <w:pPr>
        <w:ind w:left="1020" w:hanging="360"/>
      </w:pPr>
    </w:lvl>
  </w:abstractNum>
  <w:abstractNum w:abstractNumId="87" w15:restartNumberingAfterBreak="0">
    <w:nsid w:val="606B3AB9"/>
    <w:multiLevelType w:val="hybridMultilevel"/>
    <w:tmpl w:val="93E07F22"/>
    <w:lvl w:ilvl="0" w:tplc="CDC69A5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8" w15:restartNumberingAfterBreak="0">
    <w:nsid w:val="613C02DF"/>
    <w:multiLevelType w:val="hybridMultilevel"/>
    <w:tmpl w:val="BB621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62953573"/>
    <w:multiLevelType w:val="hybridMultilevel"/>
    <w:tmpl w:val="633674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345886B"/>
    <w:multiLevelType w:val="hybridMultilevel"/>
    <w:tmpl w:val="A5563E30"/>
    <w:lvl w:ilvl="0" w:tplc="21286AEA">
      <w:start w:val="1"/>
      <w:numFmt w:val="bullet"/>
      <w:lvlText w:val="-"/>
      <w:lvlJc w:val="left"/>
      <w:pPr>
        <w:ind w:left="1068" w:hanging="360"/>
      </w:pPr>
      <w:rPr>
        <w:rFonts w:ascii="Aptos" w:hAnsi="Aptos" w:hint="default"/>
      </w:rPr>
    </w:lvl>
    <w:lvl w:ilvl="1" w:tplc="2CB23510">
      <w:start w:val="1"/>
      <w:numFmt w:val="bullet"/>
      <w:lvlText w:val="o"/>
      <w:lvlJc w:val="left"/>
      <w:pPr>
        <w:ind w:left="1788" w:hanging="360"/>
      </w:pPr>
      <w:rPr>
        <w:rFonts w:ascii="Courier New" w:hAnsi="Courier New" w:hint="default"/>
      </w:rPr>
    </w:lvl>
    <w:lvl w:ilvl="2" w:tplc="19146A36">
      <w:start w:val="1"/>
      <w:numFmt w:val="bullet"/>
      <w:lvlText w:val=""/>
      <w:lvlJc w:val="left"/>
      <w:pPr>
        <w:ind w:left="2508" w:hanging="360"/>
      </w:pPr>
      <w:rPr>
        <w:rFonts w:ascii="Wingdings" w:hAnsi="Wingdings" w:hint="default"/>
      </w:rPr>
    </w:lvl>
    <w:lvl w:ilvl="3" w:tplc="26865290">
      <w:start w:val="1"/>
      <w:numFmt w:val="bullet"/>
      <w:lvlText w:val=""/>
      <w:lvlJc w:val="left"/>
      <w:pPr>
        <w:ind w:left="3228" w:hanging="360"/>
      </w:pPr>
      <w:rPr>
        <w:rFonts w:ascii="Symbol" w:hAnsi="Symbol" w:hint="default"/>
      </w:rPr>
    </w:lvl>
    <w:lvl w:ilvl="4" w:tplc="C696ED0E">
      <w:start w:val="1"/>
      <w:numFmt w:val="bullet"/>
      <w:lvlText w:val="o"/>
      <w:lvlJc w:val="left"/>
      <w:pPr>
        <w:ind w:left="3948" w:hanging="360"/>
      </w:pPr>
      <w:rPr>
        <w:rFonts w:ascii="Courier New" w:hAnsi="Courier New" w:hint="default"/>
      </w:rPr>
    </w:lvl>
    <w:lvl w:ilvl="5" w:tplc="BEF09270">
      <w:start w:val="1"/>
      <w:numFmt w:val="bullet"/>
      <w:lvlText w:val=""/>
      <w:lvlJc w:val="left"/>
      <w:pPr>
        <w:ind w:left="4668" w:hanging="360"/>
      </w:pPr>
      <w:rPr>
        <w:rFonts w:ascii="Wingdings" w:hAnsi="Wingdings" w:hint="default"/>
      </w:rPr>
    </w:lvl>
    <w:lvl w:ilvl="6" w:tplc="73D64CD0">
      <w:start w:val="1"/>
      <w:numFmt w:val="bullet"/>
      <w:lvlText w:val=""/>
      <w:lvlJc w:val="left"/>
      <w:pPr>
        <w:ind w:left="5388" w:hanging="360"/>
      </w:pPr>
      <w:rPr>
        <w:rFonts w:ascii="Symbol" w:hAnsi="Symbol" w:hint="default"/>
      </w:rPr>
    </w:lvl>
    <w:lvl w:ilvl="7" w:tplc="37A8A80A">
      <w:start w:val="1"/>
      <w:numFmt w:val="bullet"/>
      <w:lvlText w:val="o"/>
      <w:lvlJc w:val="left"/>
      <w:pPr>
        <w:ind w:left="6108" w:hanging="360"/>
      </w:pPr>
      <w:rPr>
        <w:rFonts w:ascii="Courier New" w:hAnsi="Courier New" w:hint="default"/>
      </w:rPr>
    </w:lvl>
    <w:lvl w:ilvl="8" w:tplc="F830E992">
      <w:start w:val="1"/>
      <w:numFmt w:val="bullet"/>
      <w:lvlText w:val=""/>
      <w:lvlJc w:val="left"/>
      <w:pPr>
        <w:ind w:left="6828" w:hanging="360"/>
      </w:pPr>
      <w:rPr>
        <w:rFonts w:ascii="Wingdings" w:hAnsi="Wingdings" w:hint="default"/>
      </w:rPr>
    </w:lvl>
  </w:abstractNum>
  <w:abstractNum w:abstractNumId="91" w15:restartNumberingAfterBreak="0">
    <w:nsid w:val="67C70B33"/>
    <w:multiLevelType w:val="hybridMultilevel"/>
    <w:tmpl w:val="9CE696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68EE3A59"/>
    <w:multiLevelType w:val="hybridMultilevel"/>
    <w:tmpl w:val="5A70E0C0"/>
    <w:lvl w:ilvl="0" w:tplc="FFFFFFFF">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690B1AD6"/>
    <w:multiLevelType w:val="hybridMultilevel"/>
    <w:tmpl w:val="7914846A"/>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4" w15:restartNumberingAfterBreak="0">
    <w:nsid w:val="6ABA2089"/>
    <w:multiLevelType w:val="hybridMultilevel"/>
    <w:tmpl w:val="E3D640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711E5C5F"/>
    <w:multiLevelType w:val="hybridMultilevel"/>
    <w:tmpl w:val="ECCE4CBE"/>
    <w:lvl w:ilvl="0" w:tplc="CCEAD82E">
      <w:start w:val="1"/>
      <w:numFmt w:val="lowerLetter"/>
      <w:lvlText w:val="%1."/>
      <w:lvlJc w:val="left"/>
      <w:pPr>
        <w:tabs>
          <w:tab w:val="num" w:pos="720"/>
        </w:tabs>
        <w:ind w:left="720" w:hanging="360"/>
      </w:pPr>
    </w:lvl>
    <w:lvl w:ilvl="1" w:tplc="040C0019" w:tentative="1">
      <w:start w:val="1"/>
      <w:numFmt w:val="lowerLetter"/>
      <w:lvlText w:val="%2."/>
      <w:lvlJc w:val="left"/>
      <w:pPr>
        <w:ind w:left="720" w:hanging="360"/>
      </w:pPr>
    </w:lvl>
    <w:lvl w:ilvl="2" w:tplc="040C001B" w:tentative="1">
      <w:start w:val="1"/>
      <w:numFmt w:val="lowerRoman"/>
      <w:lvlText w:val="%3."/>
      <w:lvlJc w:val="right"/>
      <w:pPr>
        <w:ind w:left="1440" w:hanging="180"/>
      </w:pPr>
    </w:lvl>
    <w:lvl w:ilvl="3" w:tplc="040C000F" w:tentative="1">
      <w:start w:val="1"/>
      <w:numFmt w:val="decimal"/>
      <w:lvlText w:val="%4."/>
      <w:lvlJc w:val="left"/>
      <w:pPr>
        <w:ind w:left="2160" w:hanging="360"/>
      </w:pPr>
    </w:lvl>
    <w:lvl w:ilvl="4" w:tplc="040C0019" w:tentative="1">
      <w:start w:val="1"/>
      <w:numFmt w:val="lowerLetter"/>
      <w:lvlText w:val="%5."/>
      <w:lvlJc w:val="left"/>
      <w:pPr>
        <w:ind w:left="2880" w:hanging="360"/>
      </w:pPr>
    </w:lvl>
    <w:lvl w:ilvl="5" w:tplc="040C001B" w:tentative="1">
      <w:start w:val="1"/>
      <w:numFmt w:val="lowerRoman"/>
      <w:lvlText w:val="%6."/>
      <w:lvlJc w:val="right"/>
      <w:pPr>
        <w:ind w:left="3600" w:hanging="180"/>
      </w:pPr>
    </w:lvl>
    <w:lvl w:ilvl="6" w:tplc="040C000F" w:tentative="1">
      <w:start w:val="1"/>
      <w:numFmt w:val="decimal"/>
      <w:lvlText w:val="%7."/>
      <w:lvlJc w:val="left"/>
      <w:pPr>
        <w:ind w:left="4320" w:hanging="360"/>
      </w:pPr>
    </w:lvl>
    <w:lvl w:ilvl="7" w:tplc="040C0019" w:tentative="1">
      <w:start w:val="1"/>
      <w:numFmt w:val="lowerLetter"/>
      <w:lvlText w:val="%8."/>
      <w:lvlJc w:val="left"/>
      <w:pPr>
        <w:ind w:left="5040" w:hanging="360"/>
      </w:pPr>
    </w:lvl>
    <w:lvl w:ilvl="8" w:tplc="040C001B" w:tentative="1">
      <w:start w:val="1"/>
      <w:numFmt w:val="lowerRoman"/>
      <w:lvlText w:val="%9."/>
      <w:lvlJc w:val="right"/>
      <w:pPr>
        <w:ind w:left="5760" w:hanging="180"/>
      </w:pPr>
    </w:lvl>
  </w:abstractNum>
  <w:abstractNum w:abstractNumId="96" w15:restartNumberingAfterBreak="0">
    <w:nsid w:val="71481E00"/>
    <w:multiLevelType w:val="hybridMultilevel"/>
    <w:tmpl w:val="3C4E0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71D84187"/>
    <w:multiLevelType w:val="hybridMultilevel"/>
    <w:tmpl w:val="EF02C448"/>
    <w:lvl w:ilvl="0" w:tplc="040C0001">
      <w:start w:val="1"/>
      <w:numFmt w:val="bullet"/>
      <w:lvlText w:val=""/>
      <w:lvlJc w:val="left"/>
      <w:pPr>
        <w:tabs>
          <w:tab w:val="num" w:pos="2160"/>
        </w:tabs>
        <w:ind w:left="2160" w:hanging="360"/>
      </w:pPr>
      <w:rPr>
        <w:rFonts w:ascii="Symbol" w:hAnsi="Symbol" w:hint="default"/>
      </w:rPr>
    </w:lvl>
    <w:lvl w:ilvl="1" w:tplc="FFFFFFFF">
      <w:start w:val="1"/>
      <w:numFmt w:val="lowerLetter"/>
      <w:lvlText w:val="%2."/>
      <w:lvlJc w:val="left"/>
      <w:pPr>
        <w:tabs>
          <w:tab w:val="num" w:pos="2880"/>
        </w:tabs>
        <w:ind w:left="2880" w:hanging="360"/>
      </w:pPr>
    </w:lvl>
    <w:lvl w:ilvl="2" w:tplc="FFFFFFFF" w:tentative="1">
      <w:start w:val="1"/>
      <w:numFmt w:val="lowerLetter"/>
      <w:lvlText w:val="%3."/>
      <w:lvlJc w:val="left"/>
      <w:pPr>
        <w:tabs>
          <w:tab w:val="num" w:pos="3600"/>
        </w:tabs>
        <w:ind w:left="3600" w:hanging="360"/>
      </w:pPr>
    </w:lvl>
    <w:lvl w:ilvl="3" w:tplc="FFFFFFFF" w:tentative="1">
      <w:start w:val="1"/>
      <w:numFmt w:val="lowerLetter"/>
      <w:lvlText w:val="%4."/>
      <w:lvlJc w:val="left"/>
      <w:pPr>
        <w:tabs>
          <w:tab w:val="num" w:pos="4320"/>
        </w:tabs>
        <w:ind w:left="4320" w:hanging="360"/>
      </w:pPr>
    </w:lvl>
    <w:lvl w:ilvl="4" w:tplc="FFFFFFFF" w:tentative="1">
      <w:start w:val="1"/>
      <w:numFmt w:val="lowerLetter"/>
      <w:lvlText w:val="%5."/>
      <w:lvlJc w:val="left"/>
      <w:pPr>
        <w:tabs>
          <w:tab w:val="num" w:pos="5040"/>
        </w:tabs>
        <w:ind w:left="5040" w:hanging="360"/>
      </w:pPr>
    </w:lvl>
    <w:lvl w:ilvl="5" w:tplc="FFFFFFFF" w:tentative="1">
      <w:start w:val="1"/>
      <w:numFmt w:val="lowerLetter"/>
      <w:lvlText w:val="%6."/>
      <w:lvlJc w:val="left"/>
      <w:pPr>
        <w:tabs>
          <w:tab w:val="num" w:pos="5760"/>
        </w:tabs>
        <w:ind w:left="5760" w:hanging="360"/>
      </w:pPr>
    </w:lvl>
    <w:lvl w:ilvl="6" w:tplc="FFFFFFFF" w:tentative="1">
      <w:start w:val="1"/>
      <w:numFmt w:val="lowerLetter"/>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Letter"/>
      <w:lvlText w:val="%9."/>
      <w:lvlJc w:val="left"/>
      <w:pPr>
        <w:tabs>
          <w:tab w:val="num" w:pos="7920"/>
        </w:tabs>
        <w:ind w:left="7920" w:hanging="360"/>
      </w:pPr>
    </w:lvl>
  </w:abstractNum>
  <w:abstractNum w:abstractNumId="98" w15:restartNumberingAfterBreak="0">
    <w:nsid w:val="71E07325"/>
    <w:multiLevelType w:val="hybridMultilevel"/>
    <w:tmpl w:val="4D98548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9" w15:restartNumberingAfterBreak="0">
    <w:nsid w:val="72852637"/>
    <w:multiLevelType w:val="hybridMultilevel"/>
    <w:tmpl w:val="ADCE6EB0"/>
    <w:lvl w:ilvl="0" w:tplc="BD6EDF4E">
      <w:start w:val="1"/>
      <w:numFmt w:val="decimal"/>
      <w:lvlText w:val="%1."/>
      <w:lvlJc w:val="left"/>
      <w:pPr>
        <w:ind w:left="1020" w:hanging="360"/>
      </w:pPr>
    </w:lvl>
    <w:lvl w:ilvl="1" w:tplc="67ACC596">
      <w:start w:val="1"/>
      <w:numFmt w:val="decimal"/>
      <w:lvlText w:val="%2."/>
      <w:lvlJc w:val="left"/>
      <w:pPr>
        <w:ind w:left="1020" w:hanging="360"/>
      </w:pPr>
    </w:lvl>
    <w:lvl w:ilvl="2" w:tplc="AA6693F8">
      <w:start w:val="1"/>
      <w:numFmt w:val="decimal"/>
      <w:lvlText w:val="%3."/>
      <w:lvlJc w:val="left"/>
      <w:pPr>
        <w:ind w:left="1020" w:hanging="360"/>
      </w:pPr>
    </w:lvl>
    <w:lvl w:ilvl="3" w:tplc="1F3E0370">
      <w:start w:val="1"/>
      <w:numFmt w:val="decimal"/>
      <w:lvlText w:val="%4."/>
      <w:lvlJc w:val="left"/>
      <w:pPr>
        <w:ind w:left="1020" w:hanging="360"/>
      </w:pPr>
    </w:lvl>
    <w:lvl w:ilvl="4" w:tplc="42AC509A">
      <w:start w:val="1"/>
      <w:numFmt w:val="decimal"/>
      <w:lvlText w:val="%5."/>
      <w:lvlJc w:val="left"/>
      <w:pPr>
        <w:ind w:left="1020" w:hanging="360"/>
      </w:pPr>
    </w:lvl>
    <w:lvl w:ilvl="5" w:tplc="9CC4B6F6">
      <w:start w:val="1"/>
      <w:numFmt w:val="decimal"/>
      <w:lvlText w:val="%6."/>
      <w:lvlJc w:val="left"/>
      <w:pPr>
        <w:ind w:left="1020" w:hanging="360"/>
      </w:pPr>
    </w:lvl>
    <w:lvl w:ilvl="6" w:tplc="A1F0E164">
      <w:start w:val="1"/>
      <w:numFmt w:val="decimal"/>
      <w:lvlText w:val="%7."/>
      <w:lvlJc w:val="left"/>
      <w:pPr>
        <w:ind w:left="1020" w:hanging="360"/>
      </w:pPr>
    </w:lvl>
    <w:lvl w:ilvl="7" w:tplc="4B14BFA2">
      <w:start w:val="1"/>
      <w:numFmt w:val="decimal"/>
      <w:lvlText w:val="%8."/>
      <w:lvlJc w:val="left"/>
      <w:pPr>
        <w:ind w:left="1020" w:hanging="360"/>
      </w:pPr>
    </w:lvl>
    <w:lvl w:ilvl="8" w:tplc="414C6B32">
      <w:start w:val="1"/>
      <w:numFmt w:val="decimal"/>
      <w:lvlText w:val="%9."/>
      <w:lvlJc w:val="left"/>
      <w:pPr>
        <w:ind w:left="1020" w:hanging="360"/>
      </w:pPr>
    </w:lvl>
  </w:abstractNum>
  <w:abstractNum w:abstractNumId="100" w15:restartNumberingAfterBreak="0">
    <w:nsid w:val="75AE6294"/>
    <w:multiLevelType w:val="hybridMultilevel"/>
    <w:tmpl w:val="B6964C8E"/>
    <w:lvl w:ilvl="0" w:tplc="FFFFFFFF">
      <w:start w:val="1"/>
      <w:numFmt w:val="bullet"/>
      <w:lvlText w:val=""/>
      <w:lvlJc w:val="left"/>
      <w:pPr>
        <w:ind w:left="720" w:hanging="360"/>
      </w:pPr>
      <w:rPr>
        <w:rFonts w:ascii="Symbol" w:hAnsi="Symbol" w:hint="default"/>
      </w:rPr>
    </w:lvl>
    <w:lvl w:ilvl="1" w:tplc="040C000B">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75B233F7"/>
    <w:multiLevelType w:val="hybridMultilevel"/>
    <w:tmpl w:val="4E1E50DA"/>
    <w:lvl w:ilvl="0" w:tplc="2A44CBDE">
      <w:start w:val="1"/>
      <w:numFmt w:val="bullet"/>
      <w:lvlText w:val="-"/>
      <w:lvlJc w:val="left"/>
      <w:pPr>
        <w:ind w:left="1068" w:hanging="360"/>
      </w:pPr>
      <w:rPr>
        <w:rFonts w:ascii="Aptos" w:hAnsi="Aptos" w:hint="default"/>
      </w:rPr>
    </w:lvl>
    <w:lvl w:ilvl="1" w:tplc="BF5249C6">
      <w:start w:val="1"/>
      <w:numFmt w:val="bullet"/>
      <w:lvlText w:val="o"/>
      <w:lvlJc w:val="left"/>
      <w:pPr>
        <w:ind w:left="1788" w:hanging="360"/>
      </w:pPr>
      <w:rPr>
        <w:rFonts w:ascii="Courier New" w:hAnsi="Courier New" w:hint="default"/>
      </w:rPr>
    </w:lvl>
    <w:lvl w:ilvl="2" w:tplc="93A46872">
      <w:start w:val="1"/>
      <w:numFmt w:val="bullet"/>
      <w:lvlText w:val=""/>
      <w:lvlJc w:val="left"/>
      <w:pPr>
        <w:ind w:left="2508" w:hanging="360"/>
      </w:pPr>
      <w:rPr>
        <w:rFonts w:ascii="Wingdings" w:hAnsi="Wingdings" w:hint="default"/>
      </w:rPr>
    </w:lvl>
    <w:lvl w:ilvl="3" w:tplc="77403F2E">
      <w:start w:val="1"/>
      <w:numFmt w:val="bullet"/>
      <w:lvlText w:val=""/>
      <w:lvlJc w:val="left"/>
      <w:pPr>
        <w:ind w:left="3228" w:hanging="360"/>
      </w:pPr>
      <w:rPr>
        <w:rFonts w:ascii="Symbol" w:hAnsi="Symbol" w:hint="default"/>
      </w:rPr>
    </w:lvl>
    <w:lvl w:ilvl="4" w:tplc="2032A522">
      <w:start w:val="1"/>
      <w:numFmt w:val="bullet"/>
      <w:lvlText w:val="o"/>
      <w:lvlJc w:val="left"/>
      <w:pPr>
        <w:ind w:left="3948" w:hanging="360"/>
      </w:pPr>
      <w:rPr>
        <w:rFonts w:ascii="Courier New" w:hAnsi="Courier New" w:hint="default"/>
      </w:rPr>
    </w:lvl>
    <w:lvl w:ilvl="5" w:tplc="B7606B3E">
      <w:start w:val="1"/>
      <w:numFmt w:val="bullet"/>
      <w:lvlText w:val=""/>
      <w:lvlJc w:val="left"/>
      <w:pPr>
        <w:ind w:left="4668" w:hanging="360"/>
      </w:pPr>
      <w:rPr>
        <w:rFonts w:ascii="Wingdings" w:hAnsi="Wingdings" w:hint="default"/>
      </w:rPr>
    </w:lvl>
    <w:lvl w:ilvl="6" w:tplc="BF42BDCE">
      <w:start w:val="1"/>
      <w:numFmt w:val="bullet"/>
      <w:lvlText w:val=""/>
      <w:lvlJc w:val="left"/>
      <w:pPr>
        <w:ind w:left="5388" w:hanging="360"/>
      </w:pPr>
      <w:rPr>
        <w:rFonts w:ascii="Symbol" w:hAnsi="Symbol" w:hint="default"/>
      </w:rPr>
    </w:lvl>
    <w:lvl w:ilvl="7" w:tplc="3A74CC0A">
      <w:start w:val="1"/>
      <w:numFmt w:val="bullet"/>
      <w:lvlText w:val="o"/>
      <w:lvlJc w:val="left"/>
      <w:pPr>
        <w:ind w:left="6108" w:hanging="360"/>
      </w:pPr>
      <w:rPr>
        <w:rFonts w:ascii="Courier New" w:hAnsi="Courier New" w:hint="default"/>
      </w:rPr>
    </w:lvl>
    <w:lvl w:ilvl="8" w:tplc="23606C66">
      <w:start w:val="1"/>
      <w:numFmt w:val="bullet"/>
      <w:lvlText w:val=""/>
      <w:lvlJc w:val="left"/>
      <w:pPr>
        <w:ind w:left="6828" w:hanging="360"/>
      </w:pPr>
      <w:rPr>
        <w:rFonts w:ascii="Wingdings" w:hAnsi="Wingdings" w:hint="default"/>
      </w:rPr>
    </w:lvl>
  </w:abstractNum>
  <w:abstractNum w:abstractNumId="102" w15:restartNumberingAfterBreak="0">
    <w:nsid w:val="776815B3"/>
    <w:multiLevelType w:val="hybridMultilevel"/>
    <w:tmpl w:val="C9AA36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3" w15:restartNumberingAfterBreak="0">
    <w:nsid w:val="7837214E"/>
    <w:multiLevelType w:val="hybridMultilevel"/>
    <w:tmpl w:val="BAD6520A"/>
    <w:lvl w:ilvl="0" w:tplc="9E6E8058">
      <w:start w:val="1"/>
      <w:numFmt w:val="bullet"/>
      <w:lvlText w:val="•"/>
      <w:lvlJc w:val="left"/>
      <w:pPr>
        <w:tabs>
          <w:tab w:val="num" w:pos="720"/>
        </w:tabs>
        <w:ind w:left="720" w:hanging="360"/>
      </w:pPr>
      <w:rPr>
        <w:rFonts w:ascii="Arial" w:hAnsi="Arial" w:hint="default"/>
      </w:rPr>
    </w:lvl>
    <w:lvl w:ilvl="1" w:tplc="25DA62FC" w:tentative="1">
      <w:start w:val="1"/>
      <w:numFmt w:val="bullet"/>
      <w:lvlText w:val="•"/>
      <w:lvlJc w:val="left"/>
      <w:pPr>
        <w:tabs>
          <w:tab w:val="num" w:pos="1440"/>
        </w:tabs>
        <w:ind w:left="1440" w:hanging="360"/>
      </w:pPr>
      <w:rPr>
        <w:rFonts w:ascii="Arial" w:hAnsi="Arial" w:hint="default"/>
      </w:rPr>
    </w:lvl>
    <w:lvl w:ilvl="2" w:tplc="DD6ADC88" w:tentative="1">
      <w:start w:val="1"/>
      <w:numFmt w:val="bullet"/>
      <w:lvlText w:val="•"/>
      <w:lvlJc w:val="left"/>
      <w:pPr>
        <w:tabs>
          <w:tab w:val="num" w:pos="2160"/>
        </w:tabs>
        <w:ind w:left="2160" w:hanging="360"/>
      </w:pPr>
      <w:rPr>
        <w:rFonts w:ascii="Arial" w:hAnsi="Arial" w:hint="default"/>
      </w:rPr>
    </w:lvl>
    <w:lvl w:ilvl="3" w:tplc="F6908F34" w:tentative="1">
      <w:start w:val="1"/>
      <w:numFmt w:val="bullet"/>
      <w:lvlText w:val="•"/>
      <w:lvlJc w:val="left"/>
      <w:pPr>
        <w:tabs>
          <w:tab w:val="num" w:pos="2880"/>
        </w:tabs>
        <w:ind w:left="2880" w:hanging="360"/>
      </w:pPr>
      <w:rPr>
        <w:rFonts w:ascii="Arial" w:hAnsi="Arial" w:hint="default"/>
      </w:rPr>
    </w:lvl>
    <w:lvl w:ilvl="4" w:tplc="1F8ED102" w:tentative="1">
      <w:start w:val="1"/>
      <w:numFmt w:val="bullet"/>
      <w:lvlText w:val="•"/>
      <w:lvlJc w:val="left"/>
      <w:pPr>
        <w:tabs>
          <w:tab w:val="num" w:pos="3600"/>
        </w:tabs>
        <w:ind w:left="3600" w:hanging="360"/>
      </w:pPr>
      <w:rPr>
        <w:rFonts w:ascii="Arial" w:hAnsi="Arial" w:hint="default"/>
      </w:rPr>
    </w:lvl>
    <w:lvl w:ilvl="5" w:tplc="C3E270E4" w:tentative="1">
      <w:start w:val="1"/>
      <w:numFmt w:val="bullet"/>
      <w:lvlText w:val="•"/>
      <w:lvlJc w:val="left"/>
      <w:pPr>
        <w:tabs>
          <w:tab w:val="num" w:pos="4320"/>
        </w:tabs>
        <w:ind w:left="4320" w:hanging="360"/>
      </w:pPr>
      <w:rPr>
        <w:rFonts w:ascii="Arial" w:hAnsi="Arial" w:hint="default"/>
      </w:rPr>
    </w:lvl>
    <w:lvl w:ilvl="6" w:tplc="7A2A3DE4" w:tentative="1">
      <w:start w:val="1"/>
      <w:numFmt w:val="bullet"/>
      <w:lvlText w:val="•"/>
      <w:lvlJc w:val="left"/>
      <w:pPr>
        <w:tabs>
          <w:tab w:val="num" w:pos="5040"/>
        </w:tabs>
        <w:ind w:left="5040" w:hanging="360"/>
      </w:pPr>
      <w:rPr>
        <w:rFonts w:ascii="Arial" w:hAnsi="Arial" w:hint="default"/>
      </w:rPr>
    </w:lvl>
    <w:lvl w:ilvl="7" w:tplc="B4D84CFA" w:tentative="1">
      <w:start w:val="1"/>
      <w:numFmt w:val="bullet"/>
      <w:lvlText w:val="•"/>
      <w:lvlJc w:val="left"/>
      <w:pPr>
        <w:tabs>
          <w:tab w:val="num" w:pos="5760"/>
        </w:tabs>
        <w:ind w:left="5760" w:hanging="360"/>
      </w:pPr>
      <w:rPr>
        <w:rFonts w:ascii="Arial" w:hAnsi="Arial" w:hint="default"/>
      </w:rPr>
    </w:lvl>
    <w:lvl w:ilvl="8" w:tplc="9B2435BC"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85C31C3"/>
    <w:multiLevelType w:val="hybridMultilevel"/>
    <w:tmpl w:val="F2F8BB7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Symbol" w:hAnsi="Symbol" w:hint="default"/>
      </w:rPr>
    </w:lvl>
    <w:lvl w:ilvl="3" w:tplc="040C000B">
      <w:start w:val="1"/>
      <w:numFmt w:val="bullet"/>
      <w:lvlText w:val=""/>
      <w:lvlJc w:val="left"/>
      <w:pPr>
        <w:ind w:left="1440" w:hanging="360"/>
      </w:pPr>
      <w:rPr>
        <w:rFonts w:ascii="Wingdings" w:hAnsi="Wingdings"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05" w15:restartNumberingAfterBreak="0">
    <w:nsid w:val="7A7D5D51"/>
    <w:multiLevelType w:val="hybridMultilevel"/>
    <w:tmpl w:val="1EC0279A"/>
    <w:lvl w:ilvl="0" w:tplc="95EE6FCA">
      <w:start w:val="1"/>
      <w:numFmt w:val="bullet"/>
      <w:lvlText w:val="-"/>
      <w:lvlJc w:val="left"/>
      <w:pPr>
        <w:ind w:left="1068" w:hanging="360"/>
      </w:pPr>
      <w:rPr>
        <w:rFonts w:ascii="Aptos" w:hAnsi="Aptos" w:hint="default"/>
      </w:rPr>
    </w:lvl>
    <w:lvl w:ilvl="1" w:tplc="31C0E0C6">
      <w:start w:val="1"/>
      <w:numFmt w:val="bullet"/>
      <w:lvlText w:val="o"/>
      <w:lvlJc w:val="left"/>
      <w:pPr>
        <w:ind w:left="1788" w:hanging="360"/>
      </w:pPr>
      <w:rPr>
        <w:rFonts w:ascii="Courier New" w:hAnsi="Courier New" w:hint="default"/>
      </w:rPr>
    </w:lvl>
    <w:lvl w:ilvl="2" w:tplc="9E54957E">
      <w:start w:val="1"/>
      <w:numFmt w:val="bullet"/>
      <w:lvlText w:val=""/>
      <w:lvlJc w:val="left"/>
      <w:pPr>
        <w:ind w:left="2508" w:hanging="360"/>
      </w:pPr>
      <w:rPr>
        <w:rFonts w:ascii="Wingdings" w:hAnsi="Wingdings" w:hint="default"/>
      </w:rPr>
    </w:lvl>
    <w:lvl w:ilvl="3" w:tplc="7A7458C6">
      <w:start w:val="1"/>
      <w:numFmt w:val="bullet"/>
      <w:lvlText w:val=""/>
      <w:lvlJc w:val="left"/>
      <w:pPr>
        <w:ind w:left="3228" w:hanging="360"/>
      </w:pPr>
      <w:rPr>
        <w:rFonts w:ascii="Symbol" w:hAnsi="Symbol" w:hint="default"/>
      </w:rPr>
    </w:lvl>
    <w:lvl w:ilvl="4" w:tplc="39ACCADE">
      <w:start w:val="1"/>
      <w:numFmt w:val="bullet"/>
      <w:lvlText w:val="o"/>
      <w:lvlJc w:val="left"/>
      <w:pPr>
        <w:ind w:left="3948" w:hanging="360"/>
      </w:pPr>
      <w:rPr>
        <w:rFonts w:ascii="Courier New" w:hAnsi="Courier New" w:hint="default"/>
      </w:rPr>
    </w:lvl>
    <w:lvl w:ilvl="5" w:tplc="3F4835C2">
      <w:start w:val="1"/>
      <w:numFmt w:val="bullet"/>
      <w:lvlText w:val=""/>
      <w:lvlJc w:val="left"/>
      <w:pPr>
        <w:ind w:left="4668" w:hanging="360"/>
      </w:pPr>
      <w:rPr>
        <w:rFonts w:ascii="Wingdings" w:hAnsi="Wingdings" w:hint="default"/>
      </w:rPr>
    </w:lvl>
    <w:lvl w:ilvl="6" w:tplc="E0300CE2">
      <w:start w:val="1"/>
      <w:numFmt w:val="bullet"/>
      <w:lvlText w:val=""/>
      <w:lvlJc w:val="left"/>
      <w:pPr>
        <w:ind w:left="5388" w:hanging="360"/>
      </w:pPr>
      <w:rPr>
        <w:rFonts w:ascii="Symbol" w:hAnsi="Symbol" w:hint="default"/>
      </w:rPr>
    </w:lvl>
    <w:lvl w:ilvl="7" w:tplc="C046DD32">
      <w:start w:val="1"/>
      <w:numFmt w:val="bullet"/>
      <w:lvlText w:val="o"/>
      <w:lvlJc w:val="left"/>
      <w:pPr>
        <w:ind w:left="6108" w:hanging="360"/>
      </w:pPr>
      <w:rPr>
        <w:rFonts w:ascii="Courier New" w:hAnsi="Courier New" w:hint="default"/>
      </w:rPr>
    </w:lvl>
    <w:lvl w:ilvl="8" w:tplc="711805AC">
      <w:start w:val="1"/>
      <w:numFmt w:val="bullet"/>
      <w:lvlText w:val=""/>
      <w:lvlJc w:val="left"/>
      <w:pPr>
        <w:ind w:left="6828" w:hanging="360"/>
      </w:pPr>
      <w:rPr>
        <w:rFonts w:ascii="Wingdings" w:hAnsi="Wingdings" w:hint="default"/>
      </w:rPr>
    </w:lvl>
  </w:abstractNum>
  <w:abstractNum w:abstractNumId="106" w15:restartNumberingAfterBreak="0">
    <w:nsid w:val="7BE67427"/>
    <w:multiLevelType w:val="hybridMultilevel"/>
    <w:tmpl w:val="9E9A29A8"/>
    <w:lvl w:ilvl="0" w:tplc="82A44CD4">
      <w:start w:val="1"/>
      <w:numFmt w:val="decimal"/>
      <w:lvlText w:val="%1."/>
      <w:lvlJc w:val="left"/>
      <w:pPr>
        <w:ind w:left="1020" w:hanging="360"/>
      </w:pPr>
    </w:lvl>
    <w:lvl w:ilvl="1" w:tplc="EC8675D0">
      <w:start w:val="1"/>
      <w:numFmt w:val="decimal"/>
      <w:lvlText w:val="%2."/>
      <w:lvlJc w:val="left"/>
      <w:pPr>
        <w:ind w:left="1020" w:hanging="360"/>
      </w:pPr>
    </w:lvl>
    <w:lvl w:ilvl="2" w:tplc="4EC89E7E">
      <w:start w:val="1"/>
      <w:numFmt w:val="decimal"/>
      <w:lvlText w:val="%3."/>
      <w:lvlJc w:val="left"/>
      <w:pPr>
        <w:ind w:left="1020" w:hanging="360"/>
      </w:pPr>
    </w:lvl>
    <w:lvl w:ilvl="3" w:tplc="EFC4EE56">
      <w:start w:val="1"/>
      <w:numFmt w:val="decimal"/>
      <w:lvlText w:val="%4."/>
      <w:lvlJc w:val="left"/>
      <w:pPr>
        <w:ind w:left="1020" w:hanging="360"/>
      </w:pPr>
    </w:lvl>
    <w:lvl w:ilvl="4" w:tplc="F226257C">
      <w:start w:val="1"/>
      <w:numFmt w:val="decimal"/>
      <w:lvlText w:val="%5."/>
      <w:lvlJc w:val="left"/>
      <w:pPr>
        <w:ind w:left="1020" w:hanging="360"/>
      </w:pPr>
    </w:lvl>
    <w:lvl w:ilvl="5" w:tplc="8E408EF2">
      <w:start w:val="1"/>
      <w:numFmt w:val="decimal"/>
      <w:lvlText w:val="%6."/>
      <w:lvlJc w:val="left"/>
      <w:pPr>
        <w:ind w:left="1020" w:hanging="360"/>
      </w:pPr>
    </w:lvl>
    <w:lvl w:ilvl="6" w:tplc="68088D5E">
      <w:start w:val="1"/>
      <w:numFmt w:val="decimal"/>
      <w:lvlText w:val="%7."/>
      <w:lvlJc w:val="left"/>
      <w:pPr>
        <w:ind w:left="1020" w:hanging="360"/>
      </w:pPr>
    </w:lvl>
    <w:lvl w:ilvl="7" w:tplc="E2FC6CD6">
      <w:start w:val="1"/>
      <w:numFmt w:val="decimal"/>
      <w:lvlText w:val="%8."/>
      <w:lvlJc w:val="left"/>
      <w:pPr>
        <w:ind w:left="1020" w:hanging="360"/>
      </w:pPr>
    </w:lvl>
    <w:lvl w:ilvl="8" w:tplc="B30073F4">
      <w:start w:val="1"/>
      <w:numFmt w:val="decimal"/>
      <w:lvlText w:val="%9."/>
      <w:lvlJc w:val="left"/>
      <w:pPr>
        <w:ind w:left="1020" w:hanging="360"/>
      </w:pPr>
    </w:lvl>
  </w:abstractNum>
  <w:abstractNum w:abstractNumId="107" w15:restartNumberingAfterBreak="0">
    <w:nsid w:val="7C551770"/>
    <w:multiLevelType w:val="hybridMultilevel"/>
    <w:tmpl w:val="8E5E2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15:restartNumberingAfterBreak="0">
    <w:nsid w:val="7C752723"/>
    <w:multiLevelType w:val="hybridMultilevel"/>
    <w:tmpl w:val="FFFFFFFF"/>
    <w:lvl w:ilvl="0" w:tplc="B44683C4">
      <w:start w:val="1"/>
      <w:numFmt w:val="bullet"/>
      <w:lvlText w:val=""/>
      <w:lvlJc w:val="left"/>
      <w:pPr>
        <w:ind w:left="720" w:hanging="360"/>
      </w:pPr>
      <w:rPr>
        <w:rFonts w:ascii="Symbol" w:hAnsi="Symbol" w:hint="default"/>
      </w:rPr>
    </w:lvl>
    <w:lvl w:ilvl="1" w:tplc="6450EA06">
      <w:start w:val="1"/>
      <w:numFmt w:val="bullet"/>
      <w:lvlText w:val="o"/>
      <w:lvlJc w:val="left"/>
      <w:pPr>
        <w:ind w:left="1440" w:hanging="360"/>
      </w:pPr>
      <w:rPr>
        <w:rFonts w:ascii="Courier New" w:hAnsi="Courier New" w:hint="default"/>
      </w:rPr>
    </w:lvl>
    <w:lvl w:ilvl="2" w:tplc="A2E01558">
      <w:start w:val="1"/>
      <w:numFmt w:val="bullet"/>
      <w:lvlText w:val=""/>
      <w:lvlJc w:val="left"/>
      <w:pPr>
        <w:ind w:left="2160" w:hanging="360"/>
      </w:pPr>
      <w:rPr>
        <w:rFonts w:ascii="Wingdings" w:hAnsi="Wingdings" w:hint="default"/>
      </w:rPr>
    </w:lvl>
    <w:lvl w:ilvl="3" w:tplc="13AAB12A">
      <w:start w:val="1"/>
      <w:numFmt w:val="bullet"/>
      <w:lvlText w:val=""/>
      <w:lvlJc w:val="left"/>
      <w:pPr>
        <w:ind w:left="2880" w:hanging="360"/>
      </w:pPr>
      <w:rPr>
        <w:rFonts w:ascii="Symbol" w:hAnsi="Symbol" w:hint="default"/>
      </w:rPr>
    </w:lvl>
    <w:lvl w:ilvl="4" w:tplc="48762EB6">
      <w:start w:val="1"/>
      <w:numFmt w:val="bullet"/>
      <w:lvlText w:val="o"/>
      <w:lvlJc w:val="left"/>
      <w:pPr>
        <w:ind w:left="3600" w:hanging="360"/>
      </w:pPr>
      <w:rPr>
        <w:rFonts w:ascii="Courier New" w:hAnsi="Courier New" w:hint="default"/>
      </w:rPr>
    </w:lvl>
    <w:lvl w:ilvl="5" w:tplc="771AB5A2">
      <w:start w:val="1"/>
      <w:numFmt w:val="bullet"/>
      <w:lvlText w:val=""/>
      <w:lvlJc w:val="left"/>
      <w:pPr>
        <w:ind w:left="4320" w:hanging="360"/>
      </w:pPr>
      <w:rPr>
        <w:rFonts w:ascii="Wingdings" w:hAnsi="Wingdings" w:hint="default"/>
      </w:rPr>
    </w:lvl>
    <w:lvl w:ilvl="6" w:tplc="7758D948">
      <w:start w:val="1"/>
      <w:numFmt w:val="bullet"/>
      <w:lvlText w:val=""/>
      <w:lvlJc w:val="left"/>
      <w:pPr>
        <w:ind w:left="5040" w:hanging="360"/>
      </w:pPr>
      <w:rPr>
        <w:rFonts w:ascii="Symbol" w:hAnsi="Symbol" w:hint="default"/>
      </w:rPr>
    </w:lvl>
    <w:lvl w:ilvl="7" w:tplc="39E21ABE">
      <w:start w:val="1"/>
      <w:numFmt w:val="bullet"/>
      <w:lvlText w:val="o"/>
      <w:lvlJc w:val="left"/>
      <w:pPr>
        <w:ind w:left="5760" w:hanging="360"/>
      </w:pPr>
      <w:rPr>
        <w:rFonts w:ascii="Courier New" w:hAnsi="Courier New" w:hint="default"/>
      </w:rPr>
    </w:lvl>
    <w:lvl w:ilvl="8" w:tplc="61185584">
      <w:start w:val="1"/>
      <w:numFmt w:val="bullet"/>
      <w:lvlText w:val=""/>
      <w:lvlJc w:val="left"/>
      <w:pPr>
        <w:ind w:left="6480" w:hanging="360"/>
      </w:pPr>
      <w:rPr>
        <w:rFonts w:ascii="Wingdings" w:hAnsi="Wingdings" w:hint="default"/>
      </w:rPr>
    </w:lvl>
  </w:abstractNum>
  <w:num w:numId="1" w16cid:durableId="1591967419">
    <w:abstractNumId w:val="38"/>
  </w:num>
  <w:num w:numId="2" w16cid:durableId="77333907">
    <w:abstractNumId w:val="38"/>
    <w:lvlOverride w:ilvl="0">
      <w:lvl w:ilvl="0">
        <w:start w:val="1"/>
        <w:numFmt w:val="decimal"/>
        <w:pStyle w:val="Titre1"/>
        <w:lvlText w:val="%1."/>
        <w:lvlJc w:val="left"/>
        <w:pPr>
          <w:ind w:left="432" w:hanging="432"/>
        </w:pPr>
        <w:rPr>
          <w:rFonts w:ascii="Arial" w:hAnsi="Arial" w:hint="default"/>
          <w:b/>
          <w:i w:val="0"/>
          <w:sz w:val="28"/>
        </w:rPr>
      </w:lvl>
    </w:lvlOverride>
    <w:lvlOverride w:ilvl="1">
      <w:lvl w:ilvl="1">
        <w:start w:val="1"/>
        <w:numFmt w:val="decimal"/>
        <w:pStyle w:val="Titre2"/>
        <w:lvlText w:val="%1.%2."/>
        <w:lvlJc w:val="left"/>
        <w:pPr>
          <w:ind w:left="576" w:hanging="576"/>
        </w:pPr>
        <w:rPr>
          <w:rFonts w:ascii="Arial" w:hAnsi="Arial" w:hint="default"/>
          <w:b/>
          <w:i w:val="0"/>
          <w:color w:val="auto"/>
          <w:sz w:val="24"/>
        </w:rPr>
      </w:lvl>
    </w:lvlOverride>
    <w:lvlOverride w:ilvl="2">
      <w:lvl w:ilvl="2">
        <w:start w:val="1"/>
        <w:numFmt w:val="decimal"/>
        <w:pStyle w:val="Titre3"/>
        <w:lvlText w:val="%1.%2.%3."/>
        <w:lvlJc w:val="left"/>
        <w:pPr>
          <w:ind w:left="720" w:hanging="720"/>
        </w:pPr>
        <w:rPr>
          <w:rFonts w:hint="default"/>
        </w:rPr>
      </w:lvl>
    </w:lvlOverride>
    <w:lvlOverride w:ilvl="3">
      <w:lvl w:ilvl="3">
        <w:start w:val="1"/>
        <w:numFmt w:val="decimal"/>
        <w:pStyle w:val="Titre4"/>
        <w:lvlText w:val="%1.%2.%3.%4."/>
        <w:lvlJc w:val="left"/>
        <w:pPr>
          <w:ind w:left="864" w:hanging="864"/>
        </w:pPr>
        <w:rPr>
          <w:rFonts w:hint="default"/>
        </w:rPr>
      </w:lvl>
    </w:lvlOverride>
    <w:lvlOverride w:ilvl="4">
      <w:lvl w:ilvl="4">
        <w:start w:val="1"/>
        <w:numFmt w:val="decimal"/>
        <w:pStyle w:val="Titre5"/>
        <w:lvlText w:val="%1.%2.%3.%4.%5."/>
        <w:lvlJc w:val="left"/>
        <w:pPr>
          <w:ind w:left="1008" w:hanging="1008"/>
        </w:pPr>
        <w:rPr>
          <w:rFonts w:hint="default"/>
        </w:rPr>
      </w:lvl>
    </w:lvlOverride>
    <w:lvlOverride w:ilvl="5">
      <w:lvl w:ilvl="5">
        <w:start w:val="1"/>
        <w:numFmt w:val="decimal"/>
        <w:pStyle w:val="Titre6"/>
        <w:lvlText w:val="%1.%2.%3.%4.%5.%6."/>
        <w:lvlJc w:val="left"/>
        <w:pPr>
          <w:ind w:left="1152" w:hanging="1152"/>
        </w:pPr>
        <w:rPr>
          <w:rFonts w:hint="default"/>
        </w:rPr>
      </w:lvl>
    </w:lvlOverride>
    <w:lvlOverride w:ilvl="6">
      <w:lvl w:ilvl="6">
        <w:start w:val="1"/>
        <w:numFmt w:val="decimal"/>
        <w:pStyle w:val="Titre7"/>
        <w:lvlText w:val="%1.%2.%3.%4.%5.%6.%7."/>
        <w:lvlJc w:val="left"/>
        <w:pPr>
          <w:ind w:left="1296" w:hanging="1296"/>
        </w:pPr>
        <w:rPr>
          <w:rFonts w:hint="default"/>
        </w:rPr>
      </w:lvl>
    </w:lvlOverride>
    <w:lvlOverride w:ilvl="7">
      <w:lvl w:ilvl="7">
        <w:start w:val="1"/>
        <w:numFmt w:val="decimal"/>
        <w:pStyle w:val="Titre8"/>
        <w:lvlText w:val="%1.%2.%3.%4.%5.%6.%7.%8."/>
        <w:lvlJc w:val="left"/>
        <w:pPr>
          <w:ind w:left="1440" w:hanging="1440"/>
        </w:pPr>
        <w:rPr>
          <w:rFonts w:hint="default"/>
        </w:rPr>
      </w:lvl>
    </w:lvlOverride>
    <w:lvlOverride w:ilvl="8">
      <w:lvl w:ilvl="8">
        <w:start w:val="1"/>
        <w:numFmt w:val="decimal"/>
        <w:pStyle w:val="Titre9"/>
        <w:lvlText w:val="%1.%2.%3.%4.%5.%6.%7.%8.%9."/>
        <w:lvlJc w:val="left"/>
        <w:pPr>
          <w:ind w:left="1584" w:hanging="1584"/>
        </w:pPr>
        <w:rPr>
          <w:rFonts w:hint="default"/>
        </w:rPr>
      </w:lvl>
    </w:lvlOverride>
  </w:num>
  <w:num w:numId="3" w16cid:durableId="646782758">
    <w:abstractNumId w:val="38"/>
  </w:num>
  <w:num w:numId="4" w16cid:durableId="607547703">
    <w:abstractNumId w:val="9"/>
  </w:num>
  <w:num w:numId="5" w16cid:durableId="1668552921">
    <w:abstractNumId w:val="7"/>
  </w:num>
  <w:num w:numId="6" w16cid:durableId="1732387226">
    <w:abstractNumId w:val="6"/>
  </w:num>
  <w:num w:numId="7" w16cid:durableId="947858624">
    <w:abstractNumId w:val="5"/>
  </w:num>
  <w:num w:numId="8" w16cid:durableId="2005546485">
    <w:abstractNumId w:val="4"/>
  </w:num>
  <w:num w:numId="9" w16cid:durableId="1870945845">
    <w:abstractNumId w:val="3"/>
  </w:num>
  <w:num w:numId="10" w16cid:durableId="1160847339">
    <w:abstractNumId w:val="3"/>
  </w:num>
  <w:num w:numId="11" w16cid:durableId="2029671612">
    <w:abstractNumId w:val="3"/>
  </w:num>
  <w:num w:numId="12" w16cid:durableId="715467440">
    <w:abstractNumId w:val="3"/>
  </w:num>
  <w:num w:numId="13" w16cid:durableId="2072461164">
    <w:abstractNumId w:val="3"/>
  </w:num>
  <w:num w:numId="14" w16cid:durableId="1065764087">
    <w:abstractNumId w:val="8"/>
  </w:num>
  <w:num w:numId="15" w16cid:durableId="1649631700">
    <w:abstractNumId w:val="2"/>
  </w:num>
  <w:num w:numId="16" w16cid:durableId="49814258">
    <w:abstractNumId w:val="1"/>
  </w:num>
  <w:num w:numId="17" w16cid:durableId="1368215276">
    <w:abstractNumId w:val="0"/>
  </w:num>
  <w:num w:numId="18" w16cid:durableId="1451896849">
    <w:abstractNumId w:val="73"/>
  </w:num>
  <w:num w:numId="19" w16cid:durableId="1657150037">
    <w:abstractNumId w:val="99"/>
  </w:num>
  <w:num w:numId="20" w16cid:durableId="719400994">
    <w:abstractNumId w:val="54"/>
  </w:num>
  <w:num w:numId="21" w16cid:durableId="1247956760">
    <w:abstractNumId w:val="76"/>
  </w:num>
  <w:num w:numId="22" w16cid:durableId="1691956110">
    <w:abstractNumId w:val="65"/>
  </w:num>
  <w:num w:numId="23" w16cid:durableId="831487650">
    <w:abstractNumId w:val="43"/>
  </w:num>
  <w:num w:numId="24" w16cid:durableId="87585279">
    <w:abstractNumId w:val="86"/>
  </w:num>
  <w:num w:numId="25" w16cid:durableId="2059892475">
    <w:abstractNumId w:val="57"/>
  </w:num>
  <w:num w:numId="26" w16cid:durableId="461387500">
    <w:abstractNumId w:val="40"/>
  </w:num>
  <w:num w:numId="27" w16cid:durableId="1480613511">
    <w:abstractNumId w:val="31"/>
  </w:num>
  <w:num w:numId="28" w16cid:durableId="653098539">
    <w:abstractNumId w:val="17"/>
  </w:num>
  <w:num w:numId="29" w16cid:durableId="1819611783">
    <w:abstractNumId w:val="19"/>
  </w:num>
  <w:num w:numId="30" w16cid:durableId="1714034640">
    <w:abstractNumId w:val="63"/>
  </w:num>
  <w:num w:numId="31" w16cid:durableId="1230771304">
    <w:abstractNumId w:val="70"/>
  </w:num>
  <w:num w:numId="32" w16cid:durableId="62534527">
    <w:abstractNumId w:val="47"/>
  </w:num>
  <w:num w:numId="33" w16cid:durableId="1489009109">
    <w:abstractNumId w:val="25"/>
  </w:num>
  <w:num w:numId="34" w16cid:durableId="980384578">
    <w:abstractNumId w:val="93"/>
  </w:num>
  <w:num w:numId="35" w16cid:durableId="1306399970">
    <w:abstractNumId w:val="87"/>
  </w:num>
  <w:num w:numId="36" w16cid:durableId="61491268">
    <w:abstractNumId w:val="44"/>
  </w:num>
  <w:num w:numId="37" w16cid:durableId="681973851">
    <w:abstractNumId w:val="26"/>
  </w:num>
  <w:num w:numId="38" w16cid:durableId="270431301">
    <w:abstractNumId w:val="22"/>
  </w:num>
  <w:num w:numId="39" w16cid:durableId="1849177253">
    <w:abstractNumId w:val="14"/>
  </w:num>
  <w:num w:numId="40" w16cid:durableId="1400057755">
    <w:abstractNumId w:val="56"/>
  </w:num>
  <w:num w:numId="41" w16cid:durableId="1290940336">
    <w:abstractNumId w:val="59"/>
  </w:num>
  <w:num w:numId="42" w16cid:durableId="1434276523">
    <w:abstractNumId w:val="45"/>
  </w:num>
  <w:num w:numId="43" w16cid:durableId="261308048">
    <w:abstractNumId w:val="97"/>
  </w:num>
  <w:num w:numId="44" w16cid:durableId="1938518347">
    <w:abstractNumId w:val="20"/>
  </w:num>
  <w:num w:numId="45" w16cid:durableId="1309434197">
    <w:abstractNumId w:val="78"/>
  </w:num>
  <w:num w:numId="46" w16cid:durableId="256794763">
    <w:abstractNumId w:val="102"/>
  </w:num>
  <w:num w:numId="47" w16cid:durableId="1907766895">
    <w:abstractNumId w:val="24"/>
  </w:num>
  <w:num w:numId="48" w16cid:durableId="632373558">
    <w:abstractNumId w:val="12"/>
  </w:num>
  <w:num w:numId="49" w16cid:durableId="434252226">
    <w:abstractNumId w:val="50"/>
  </w:num>
  <w:num w:numId="50" w16cid:durableId="1325666857">
    <w:abstractNumId w:val="79"/>
  </w:num>
  <w:num w:numId="51" w16cid:durableId="793598065">
    <w:abstractNumId w:val="60"/>
  </w:num>
  <w:num w:numId="52" w16cid:durableId="220793374">
    <w:abstractNumId w:val="16"/>
  </w:num>
  <w:num w:numId="53" w16cid:durableId="1530023727">
    <w:abstractNumId w:val="66"/>
  </w:num>
  <w:num w:numId="54" w16cid:durableId="206184978">
    <w:abstractNumId w:val="75"/>
  </w:num>
  <w:num w:numId="55" w16cid:durableId="581911183">
    <w:abstractNumId w:val="29"/>
  </w:num>
  <w:num w:numId="56" w16cid:durableId="1717195796">
    <w:abstractNumId w:val="103"/>
  </w:num>
  <w:num w:numId="57" w16cid:durableId="1411541126">
    <w:abstractNumId w:val="53"/>
  </w:num>
  <w:num w:numId="58" w16cid:durableId="1551844367">
    <w:abstractNumId w:val="80"/>
  </w:num>
  <w:num w:numId="59" w16cid:durableId="1587376281">
    <w:abstractNumId w:val="96"/>
  </w:num>
  <w:num w:numId="60" w16cid:durableId="768113804">
    <w:abstractNumId w:val="71"/>
  </w:num>
  <w:num w:numId="61" w16cid:durableId="214197043">
    <w:abstractNumId w:val="91"/>
  </w:num>
  <w:num w:numId="62" w16cid:durableId="866211336">
    <w:abstractNumId w:val="37"/>
  </w:num>
  <w:num w:numId="63" w16cid:durableId="1667201386">
    <w:abstractNumId w:val="42"/>
  </w:num>
  <w:num w:numId="64" w16cid:durableId="1790510652">
    <w:abstractNumId w:val="83"/>
  </w:num>
  <w:num w:numId="65" w16cid:durableId="1639334667">
    <w:abstractNumId w:val="68"/>
  </w:num>
  <w:num w:numId="66" w16cid:durableId="1426421506">
    <w:abstractNumId w:val="82"/>
  </w:num>
  <w:num w:numId="67" w16cid:durableId="480199009">
    <w:abstractNumId w:val="88"/>
  </w:num>
  <w:num w:numId="68" w16cid:durableId="2010668353">
    <w:abstractNumId w:val="35"/>
  </w:num>
  <w:num w:numId="69" w16cid:durableId="2025588702">
    <w:abstractNumId w:val="51"/>
  </w:num>
  <w:num w:numId="70" w16cid:durableId="1063599267">
    <w:abstractNumId w:val="10"/>
  </w:num>
  <w:num w:numId="71" w16cid:durableId="223568922">
    <w:abstractNumId w:val="107"/>
  </w:num>
  <w:num w:numId="72" w16cid:durableId="1084455296">
    <w:abstractNumId w:val="95"/>
  </w:num>
  <w:num w:numId="73" w16cid:durableId="1048921012">
    <w:abstractNumId w:val="21"/>
  </w:num>
  <w:num w:numId="74" w16cid:durableId="203837297">
    <w:abstractNumId w:val="72"/>
  </w:num>
  <w:num w:numId="75" w16cid:durableId="1985887101">
    <w:abstractNumId w:val="69"/>
  </w:num>
  <w:num w:numId="76" w16cid:durableId="1586111713">
    <w:abstractNumId w:val="39"/>
  </w:num>
  <w:num w:numId="77" w16cid:durableId="257296777">
    <w:abstractNumId w:val="11"/>
  </w:num>
  <w:num w:numId="78" w16cid:durableId="1864584853">
    <w:abstractNumId w:val="77"/>
  </w:num>
  <w:num w:numId="79" w16cid:durableId="2006980202">
    <w:abstractNumId w:val="106"/>
  </w:num>
  <w:num w:numId="80" w16cid:durableId="1956865577">
    <w:abstractNumId w:val="23"/>
  </w:num>
  <w:num w:numId="81" w16cid:durableId="1736705465">
    <w:abstractNumId w:val="32"/>
  </w:num>
  <w:num w:numId="82" w16cid:durableId="835069253">
    <w:abstractNumId w:val="104"/>
  </w:num>
  <w:num w:numId="83" w16cid:durableId="2075274985">
    <w:abstractNumId w:val="15"/>
  </w:num>
  <w:num w:numId="84" w16cid:durableId="35325066">
    <w:abstractNumId w:val="100"/>
  </w:num>
  <w:num w:numId="85" w16cid:durableId="459108173">
    <w:abstractNumId w:val="92"/>
  </w:num>
  <w:num w:numId="86" w16cid:durableId="1967009778">
    <w:abstractNumId w:val="49"/>
  </w:num>
  <w:num w:numId="87" w16cid:durableId="568081906">
    <w:abstractNumId w:val="34"/>
  </w:num>
  <w:num w:numId="88" w16cid:durableId="1698197176">
    <w:abstractNumId w:val="81"/>
  </w:num>
  <w:num w:numId="89" w16cid:durableId="1307248763">
    <w:abstractNumId w:val="18"/>
  </w:num>
  <w:num w:numId="90" w16cid:durableId="313071871">
    <w:abstractNumId w:val="61"/>
  </w:num>
  <w:num w:numId="91" w16cid:durableId="876115409">
    <w:abstractNumId w:val="105"/>
  </w:num>
  <w:num w:numId="92" w16cid:durableId="516161990">
    <w:abstractNumId w:val="48"/>
  </w:num>
  <w:num w:numId="93" w16cid:durableId="795568647">
    <w:abstractNumId w:val="101"/>
  </w:num>
  <w:num w:numId="94" w16cid:durableId="1485660192">
    <w:abstractNumId w:val="36"/>
  </w:num>
  <w:num w:numId="95" w16cid:durableId="2118911571">
    <w:abstractNumId w:val="30"/>
  </w:num>
  <w:num w:numId="96" w16cid:durableId="1578248010">
    <w:abstractNumId w:val="90"/>
  </w:num>
  <w:num w:numId="97" w16cid:durableId="2101638990">
    <w:abstractNumId w:val="67"/>
  </w:num>
  <w:num w:numId="98" w16cid:durableId="1268932069">
    <w:abstractNumId w:val="55"/>
  </w:num>
  <w:num w:numId="99" w16cid:durableId="1633291234">
    <w:abstractNumId w:val="62"/>
  </w:num>
  <w:num w:numId="100" w16cid:durableId="73018851">
    <w:abstractNumId w:val="52"/>
  </w:num>
  <w:num w:numId="101" w16cid:durableId="304622991">
    <w:abstractNumId w:val="84"/>
  </w:num>
  <w:num w:numId="102" w16cid:durableId="369113327">
    <w:abstractNumId w:val="28"/>
  </w:num>
  <w:num w:numId="103" w16cid:durableId="1661885281">
    <w:abstractNumId w:val="98"/>
  </w:num>
  <w:num w:numId="104" w16cid:durableId="1837115300">
    <w:abstractNumId w:val="13"/>
  </w:num>
  <w:num w:numId="105" w16cid:durableId="1393581948">
    <w:abstractNumId w:val="89"/>
  </w:num>
  <w:num w:numId="106" w16cid:durableId="836310893">
    <w:abstractNumId w:val="33"/>
  </w:num>
  <w:num w:numId="107" w16cid:durableId="1828667117">
    <w:abstractNumId w:val="64"/>
  </w:num>
  <w:num w:numId="108" w16cid:durableId="1844083500">
    <w:abstractNumId w:val="27"/>
  </w:num>
  <w:num w:numId="109" w16cid:durableId="1473331675">
    <w:abstractNumId w:val="108"/>
  </w:num>
  <w:num w:numId="110" w16cid:durableId="868757165">
    <w:abstractNumId w:val="85"/>
  </w:num>
  <w:num w:numId="111" w16cid:durableId="472142560">
    <w:abstractNumId w:val="46"/>
  </w:num>
  <w:num w:numId="112" w16cid:durableId="1562055319">
    <w:abstractNumId w:val="74"/>
  </w:num>
  <w:num w:numId="113" w16cid:durableId="359625341">
    <w:abstractNumId w:val="94"/>
  </w:num>
  <w:num w:numId="114" w16cid:durableId="214707287">
    <w:abstractNumId w:val="58"/>
  </w:num>
  <w:num w:numId="115" w16cid:durableId="581566936">
    <w:abstractNumId w:val="41"/>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proofState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FA361A56-B18E-49D3-BB4F-4797677015BF}"/>
    <w:docVar w:name="dgnword-eventsink" w:val="1898407570864"/>
  </w:docVars>
  <w:rsids>
    <w:rsidRoot w:val="005E0BF2"/>
    <w:rsid w:val="00000153"/>
    <w:rsid w:val="00000607"/>
    <w:rsid w:val="000009B3"/>
    <w:rsid w:val="00000AC5"/>
    <w:rsid w:val="00000DAF"/>
    <w:rsid w:val="00000F3D"/>
    <w:rsid w:val="00001148"/>
    <w:rsid w:val="0000170A"/>
    <w:rsid w:val="0000179F"/>
    <w:rsid w:val="000017EE"/>
    <w:rsid w:val="000019C0"/>
    <w:rsid w:val="00001A0E"/>
    <w:rsid w:val="00001B6D"/>
    <w:rsid w:val="00001FDF"/>
    <w:rsid w:val="0000224B"/>
    <w:rsid w:val="000024AA"/>
    <w:rsid w:val="00002602"/>
    <w:rsid w:val="000026E1"/>
    <w:rsid w:val="000026FC"/>
    <w:rsid w:val="0000274E"/>
    <w:rsid w:val="00002914"/>
    <w:rsid w:val="000029FE"/>
    <w:rsid w:val="00002B5D"/>
    <w:rsid w:val="00002BCA"/>
    <w:rsid w:val="00002C36"/>
    <w:rsid w:val="00002CD2"/>
    <w:rsid w:val="00002DAF"/>
    <w:rsid w:val="000031A1"/>
    <w:rsid w:val="000031EB"/>
    <w:rsid w:val="0000329C"/>
    <w:rsid w:val="000032C6"/>
    <w:rsid w:val="000033D2"/>
    <w:rsid w:val="0000346D"/>
    <w:rsid w:val="000036FD"/>
    <w:rsid w:val="0000370F"/>
    <w:rsid w:val="0000377A"/>
    <w:rsid w:val="00003AF1"/>
    <w:rsid w:val="00003BFA"/>
    <w:rsid w:val="000047C5"/>
    <w:rsid w:val="00004836"/>
    <w:rsid w:val="00004EAE"/>
    <w:rsid w:val="00004F21"/>
    <w:rsid w:val="00005224"/>
    <w:rsid w:val="00005233"/>
    <w:rsid w:val="00005299"/>
    <w:rsid w:val="000052F6"/>
    <w:rsid w:val="00005413"/>
    <w:rsid w:val="000057C7"/>
    <w:rsid w:val="00005811"/>
    <w:rsid w:val="0000584A"/>
    <w:rsid w:val="00005B2D"/>
    <w:rsid w:val="00005CF5"/>
    <w:rsid w:val="00006003"/>
    <w:rsid w:val="000060D0"/>
    <w:rsid w:val="000060D7"/>
    <w:rsid w:val="00006246"/>
    <w:rsid w:val="00006663"/>
    <w:rsid w:val="000067E4"/>
    <w:rsid w:val="0000682B"/>
    <w:rsid w:val="0000687E"/>
    <w:rsid w:val="000069B1"/>
    <w:rsid w:val="00006BDD"/>
    <w:rsid w:val="00006CBE"/>
    <w:rsid w:val="00006F3A"/>
    <w:rsid w:val="00007118"/>
    <w:rsid w:val="00007390"/>
    <w:rsid w:val="00007904"/>
    <w:rsid w:val="00007FC3"/>
    <w:rsid w:val="0001020A"/>
    <w:rsid w:val="000102F6"/>
    <w:rsid w:val="0001030A"/>
    <w:rsid w:val="000103AC"/>
    <w:rsid w:val="00010792"/>
    <w:rsid w:val="00010818"/>
    <w:rsid w:val="00010866"/>
    <w:rsid w:val="00010BA1"/>
    <w:rsid w:val="00010BA4"/>
    <w:rsid w:val="00010DD0"/>
    <w:rsid w:val="00010F09"/>
    <w:rsid w:val="00010F59"/>
    <w:rsid w:val="000111DB"/>
    <w:rsid w:val="000112A6"/>
    <w:rsid w:val="000117F6"/>
    <w:rsid w:val="00011D03"/>
    <w:rsid w:val="00011E8B"/>
    <w:rsid w:val="00011EB6"/>
    <w:rsid w:val="000120C7"/>
    <w:rsid w:val="00012205"/>
    <w:rsid w:val="00012524"/>
    <w:rsid w:val="00012800"/>
    <w:rsid w:val="000128BA"/>
    <w:rsid w:val="000128E6"/>
    <w:rsid w:val="00012955"/>
    <w:rsid w:val="00012AF9"/>
    <w:rsid w:val="00012EDF"/>
    <w:rsid w:val="0001344B"/>
    <w:rsid w:val="00013725"/>
    <w:rsid w:val="0001373C"/>
    <w:rsid w:val="000138C8"/>
    <w:rsid w:val="00013944"/>
    <w:rsid w:val="000139AC"/>
    <w:rsid w:val="00013BAB"/>
    <w:rsid w:val="00014087"/>
    <w:rsid w:val="00014088"/>
    <w:rsid w:val="000140B2"/>
    <w:rsid w:val="0001452B"/>
    <w:rsid w:val="0001479D"/>
    <w:rsid w:val="0001486E"/>
    <w:rsid w:val="00014D10"/>
    <w:rsid w:val="0001545F"/>
    <w:rsid w:val="000155D8"/>
    <w:rsid w:val="0001566E"/>
    <w:rsid w:val="0001587E"/>
    <w:rsid w:val="00015B8F"/>
    <w:rsid w:val="00016164"/>
    <w:rsid w:val="0001662D"/>
    <w:rsid w:val="0001673A"/>
    <w:rsid w:val="00016943"/>
    <w:rsid w:val="00016AB6"/>
    <w:rsid w:val="00016B6D"/>
    <w:rsid w:val="00017304"/>
    <w:rsid w:val="00017806"/>
    <w:rsid w:val="0001784F"/>
    <w:rsid w:val="00017991"/>
    <w:rsid w:val="00017B39"/>
    <w:rsid w:val="00017C9E"/>
    <w:rsid w:val="00017DA5"/>
    <w:rsid w:val="000203C3"/>
    <w:rsid w:val="000205DD"/>
    <w:rsid w:val="00020706"/>
    <w:rsid w:val="00020924"/>
    <w:rsid w:val="00020BD4"/>
    <w:rsid w:val="00020CD4"/>
    <w:rsid w:val="00020D77"/>
    <w:rsid w:val="00020E6B"/>
    <w:rsid w:val="000211FA"/>
    <w:rsid w:val="0002134A"/>
    <w:rsid w:val="000213B4"/>
    <w:rsid w:val="000214AB"/>
    <w:rsid w:val="000216BE"/>
    <w:rsid w:val="000217BB"/>
    <w:rsid w:val="000217ED"/>
    <w:rsid w:val="000218DE"/>
    <w:rsid w:val="0002197B"/>
    <w:rsid w:val="00021A82"/>
    <w:rsid w:val="00021CB5"/>
    <w:rsid w:val="00022196"/>
    <w:rsid w:val="0002241D"/>
    <w:rsid w:val="000226C3"/>
    <w:rsid w:val="000226F8"/>
    <w:rsid w:val="00022795"/>
    <w:rsid w:val="00022958"/>
    <w:rsid w:val="00022A78"/>
    <w:rsid w:val="00022F01"/>
    <w:rsid w:val="00023162"/>
    <w:rsid w:val="000233AC"/>
    <w:rsid w:val="000233C7"/>
    <w:rsid w:val="00023506"/>
    <w:rsid w:val="00023AB4"/>
    <w:rsid w:val="00023CA1"/>
    <w:rsid w:val="00023CF5"/>
    <w:rsid w:val="00023E86"/>
    <w:rsid w:val="00023F6F"/>
    <w:rsid w:val="00024222"/>
    <w:rsid w:val="000244E3"/>
    <w:rsid w:val="00024CC9"/>
    <w:rsid w:val="00024D15"/>
    <w:rsid w:val="00024E2C"/>
    <w:rsid w:val="00024FCE"/>
    <w:rsid w:val="000253F0"/>
    <w:rsid w:val="00025412"/>
    <w:rsid w:val="00025478"/>
    <w:rsid w:val="000254C7"/>
    <w:rsid w:val="00025880"/>
    <w:rsid w:val="00025E34"/>
    <w:rsid w:val="000262B7"/>
    <w:rsid w:val="00026354"/>
    <w:rsid w:val="00026727"/>
    <w:rsid w:val="00026DA2"/>
    <w:rsid w:val="00027083"/>
    <w:rsid w:val="000271E1"/>
    <w:rsid w:val="0002722B"/>
    <w:rsid w:val="00027264"/>
    <w:rsid w:val="000273D4"/>
    <w:rsid w:val="000274FA"/>
    <w:rsid w:val="00027626"/>
    <w:rsid w:val="00027632"/>
    <w:rsid w:val="00027A9E"/>
    <w:rsid w:val="00027C73"/>
    <w:rsid w:val="00027D6C"/>
    <w:rsid w:val="00030075"/>
    <w:rsid w:val="000300B7"/>
    <w:rsid w:val="000300CE"/>
    <w:rsid w:val="0003028C"/>
    <w:rsid w:val="000303E5"/>
    <w:rsid w:val="00030404"/>
    <w:rsid w:val="000305C3"/>
    <w:rsid w:val="0003064D"/>
    <w:rsid w:val="0003088E"/>
    <w:rsid w:val="00030C07"/>
    <w:rsid w:val="00030C0F"/>
    <w:rsid w:val="00030F22"/>
    <w:rsid w:val="00031055"/>
    <w:rsid w:val="000310BD"/>
    <w:rsid w:val="000312E2"/>
    <w:rsid w:val="00031463"/>
    <w:rsid w:val="00031D25"/>
    <w:rsid w:val="000320BA"/>
    <w:rsid w:val="0003225B"/>
    <w:rsid w:val="00032645"/>
    <w:rsid w:val="0003272F"/>
    <w:rsid w:val="0003285B"/>
    <w:rsid w:val="00032C4C"/>
    <w:rsid w:val="00032D31"/>
    <w:rsid w:val="00032EF5"/>
    <w:rsid w:val="0003324E"/>
    <w:rsid w:val="00033311"/>
    <w:rsid w:val="00033456"/>
    <w:rsid w:val="0003372D"/>
    <w:rsid w:val="0003382E"/>
    <w:rsid w:val="000338BA"/>
    <w:rsid w:val="000338C4"/>
    <w:rsid w:val="00033A79"/>
    <w:rsid w:val="00033BD4"/>
    <w:rsid w:val="00033D5B"/>
    <w:rsid w:val="00033E91"/>
    <w:rsid w:val="00033F9D"/>
    <w:rsid w:val="00033FB5"/>
    <w:rsid w:val="00034563"/>
    <w:rsid w:val="00034BE2"/>
    <w:rsid w:val="00034C0A"/>
    <w:rsid w:val="00034D6D"/>
    <w:rsid w:val="00034E62"/>
    <w:rsid w:val="00035142"/>
    <w:rsid w:val="00035A83"/>
    <w:rsid w:val="00035E7A"/>
    <w:rsid w:val="00035F51"/>
    <w:rsid w:val="0003624A"/>
    <w:rsid w:val="00036300"/>
    <w:rsid w:val="000363C9"/>
    <w:rsid w:val="00036628"/>
    <w:rsid w:val="00036775"/>
    <w:rsid w:val="000368A5"/>
    <w:rsid w:val="00036AC0"/>
    <w:rsid w:val="00036B65"/>
    <w:rsid w:val="00036E9C"/>
    <w:rsid w:val="00036F00"/>
    <w:rsid w:val="00036F20"/>
    <w:rsid w:val="000370A0"/>
    <w:rsid w:val="000374A1"/>
    <w:rsid w:val="000375E3"/>
    <w:rsid w:val="00037AA8"/>
    <w:rsid w:val="00037D87"/>
    <w:rsid w:val="000400C0"/>
    <w:rsid w:val="00040266"/>
    <w:rsid w:val="00040429"/>
    <w:rsid w:val="0004065E"/>
    <w:rsid w:val="000408A9"/>
    <w:rsid w:val="00040908"/>
    <w:rsid w:val="00040DB1"/>
    <w:rsid w:val="0004113A"/>
    <w:rsid w:val="00041381"/>
    <w:rsid w:val="000413BF"/>
    <w:rsid w:val="0004164C"/>
    <w:rsid w:val="000416D3"/>
    <w:rsid w:val="000416ED"/>
    <w:rsid w:val="00041901"/>
    <w:rsid w:val="00041B6F"/>
    <w:rsid w:val="00041BBD"/>
    <w:rsid w:val="00041C40"/>
    <w:rsid w:val="00041E59"/>
    <w:rsid w:val="00041FBE"/>
    <w:rsid w:val="0004276E"/>
    <w:rsid w:val="000436D9"/>
    <w:rsid w:val="0004374D"/>
    <w:rsid w:val="00043DA8"/>
    <w:rsid w:val="00043F45"/>
    <w:rsid w:val="00044331"/>
    <w:rsid w:val="000445C3"/>
    <w:rsid w:val="000447FD"/>
    <w:rsid w:val="000449D9"/>
    <w:rsid w:val="00044A0C"/>
    <w:rsid w:val="00044BD5"/>
    <w:rsid w:val="00044DD6"/>
    <w:rsid w:val="00044E3D"/>
    <w:rsid w:val="00044E9D"/>
    <w:rsid w:val="00044FF2"/>
    <w:rsid w:val="000454F6"/>
    <w:rsid w:val="00045662"/>
    <w:rsid w:val="000457D6"/>
    <w:rsid w:val="00045922"/>
    <w:rsid w:val="00045EDA"/>
    <w:rsid w:val="00045F7A"/>
    <w:rsid w:val="0004609D"/>
    <w:rsid w:val="0004646B"/>
    <w:rsid w:val="000465C0"/>
    <w:rsid w:val="00046904"/>
    <w:rsid w:val="000469C9"/>
    <w:rsid w:val="00046C15"/>
    <w:rsid w:val="00047291"/>
    <w:rsid w:val="0004731E"/>
    <w:rsid w:val="00047A8D"/>
    <w:rsid w:val="00047E97"/>
    <w:rsid w:val="00050071"/>
    <w:rsid w:val="0005036F"/>
    <w:rsid w:val="00050527"/>
    <w:rsid w:val="000506FB"/>
    <w:rsid w:val="000510F6"/>
    <w:rsid w:val="00051491"/>
    <w:rsid w:val="000514D3"/>
    <w:rsid w:val="00051845"/>
    <w:rsid w:val="00051B35"/>
    <w:rsid w:val="00051C4C"/>
    <w:rsid w:val="0005245B"/>
    <w:rsid w:val="00052521"/>
    <w:rsid w:val="000526FF"/>
    <w:rsid w:val="00052728"/>
    <w:rsid w:val="000528F9"/>
    <w:rsid w:val="00052CA7"/>
    <w:rsid w:val="00052EBA"/>
    <w:rsid w:val="00052ED5"/>
    <w:rsid w:val="00052EDD"/>
    <w:rsid w:val="0005302B"/>
    <w:rsid w:val="0005310E"/>
    <w:rsid w:val="0005313B"/>
    <w:rsid w:val="0005318D"/>
    <w:rsid w:val="00053359"/>
    <w:rsid w:val="00053502"/>
    <w:rsid w:val="0005356B"/>
    <w:rsid w:val="00053798"/>
    <w:rsid w:val="00053B39"/>
    <w:rsid w:val="00053C10"/>
    <w:rsid w:val="00053CEE"/>
    <w:rsid w:val="00053DFB"/>
    <w:rsid w:val="00053E08"/>
    <w:rsid w:val="00053EE3"/>
    <w:rsid w:val="00053F51"/>
    <w:rsid w:val="0005410E"/>
    <w:rsid w:val="00054A56"/>
    <w:rsid w:val="00054A60"/>
    <w:rsid w:val="0005502F"/>
    <w:rsid w:val="000550EA"/>
    <w:rsid w:val="00055201"/>
    <w:rsid w:val="000552BF"/>
    <w:rsid w:val="000552C3"/>
    <w:rsid w:val="00055399"/>
    <w:rsid w:val="00055F86"/>
    <w:rsid w:val="00055FB5"/>
    <w:rsid w:val="00055FC5"/>
    <w:rsid w:val="00056296"/>
    <w:rsid w:val="0005677F"/>
    <w:rsid w:val="00056CF7"/>
    <w:rsid w:val="00056D12"/>
    <w:rsid w:val="00056D24"/>
    <w:rsid w:val="00056DB1"/>
    <w:rsid w:val="00056FC5"/>
    <w:rsid w:val="00057255"/>
    <w:rsid w:val="000574A2"/>
    <w:rsid w:val="0005766E"/>
    <w:rsid w:val="000578F2"/>
    <w:rsid w:val="00057D4D"/>
    <w:rsid w:val="0006003F"/>
    <w:rsid w:val="00060044"/>
    <w:rsid w:val="000600EA"/>
    <w:rsid w:val="00060501"/>
    <w:rsid w:val="00060749"/>
    <w:rsid w:val="000608FE"/>
    <w:rsid w:val="00061148"/>
    <w:rsid w:val="00061232"/>
    <w:rsid w:val="000613CF"/>
    <w:rsid w:val="000613FA"/>
    <w:rsid w:val="0006141B"/>
    <w:rsid w:val="0006143B"/>
    <w:rsid w:val="00061556"/>
    <w:rsid w:val="000615AC"/>
    <w:rsid w:val="0006183D"/>
    <w:rsid w:val="0006184E"/>
    <w:rsid w:val="00061DE5"/>
    <w:rsid w:val="00061ECA"/>
    <w:rsid w:val="00062097"/>
    <w:rsid w:val="0006278C"/>
    <w:rsid w:val="000627D8"/>
    <w:rsid w:val="000628E7"/>
    <w:rsid w:val="000629D8"/>
    <w:rsid w:val="00062D64"/>
    <w:rsid w:val="0006316F"/>
    <w:rsid w:val="0006327C"/>
    <w:rsid w:val="000633F4"/>
    <w:rsid w:val="00063443"/>
    <w:rsid w:val="000636F8"/>
    <w:rsid w:val="00063923"/>
    <w:rsid w:val="00063D04"/>
    <w:rsid w:val="00063D99"/>
    <w:rsid w:val="00063EB2"/>
    <w:rsid w:val="00063F17"/>
    <w:rsid w:val="00063F52"/>
    <w:rsid w:val="00064152"/>
    <w:rsid w:val="0006435B"/>
    <w:rsid w:val="00064582"/>
    <w:rsid w:val="0006467B"/>
    <w:rsid w:val="00064895"/>
    <w:rsid w:val="000649D9"/>
    <w:rsid w:val="00064A7D"/>
    <w:rsid w:val="00064C8A"/>
    <w:rsid w:val="00065078"/>
    <w:rsid w:val="00065148"/>
    <w:rsid w:val="000654A0"/>
    <w:rsid w:val="00065599"/>
    <w:rsid w:val="00065954"/>
    <w:rsid w:val="0006599B"/>
    <w:rsid w:val="00065AE8"/>
    <w:rsid w:val="000661BF"/>
    <w:rsid w:val="000661C3"/>
    <w:rsid w:val="000661D9"/>
    <w:rsid w:val="00066417"/>
    <w:rsid w:val="0006657C"/>
    <w:rsid w:val="0006663F"/>
    <w:rsid w:val="000667AC"/>
    <w:rsid w:val="00066818"/>
    <w:rsid w:val="0006683D"/>
    <w:rsid w:val="0006695D"/>
    <w:rsid w:val="000669E6"/>
    <w:rsid w:val="00066BAF"/>
    <w:rsid w:val="00066F1B"/>
    <w:rsid w:val="00066FC8"/>
    <w:rsid w:val="0006749F"/>
    <w:rsid w:val="00067575"/>
    <w:rsid w:val="000676B3"/>
    <w:rsid w:val="0006781F"/>
    <w:rsid w:val="00067C33"/>
    <w:rsid w:val="00067F29"/>
    <w:rsid w:val="00067F61"/>
    <w:rsid w:val="0007001C"/>
    <w:rsid w:val="00070353"/>
    <w:rsid w:val="0007053E"/>
    <w:rsid w:val="00070A22"/>
    <w:rsid w:val="00070B74"/>
    <w:rsid w:val="00070E01"/>
    <w:rsid w:val="0007149D"/>
    <w:rsid w:val="00071650"/>
    <w:rsid w:val="00071652"/>
    <w:rsid w:val="000718C9"/>
    <w:rsid w:val="00071996"/>
    <w:rsid w:val="00071AC0"/>
    <w:rsid w:val="00071B20"/>
    <w:rsid w:val="00071C0C"/>
    <w:rsid w:val="00071CCC"/>
    <w:rsid w:val="00071D05"/>
    <w:rsid w:val="00071FD4"/>
    <w:rsid w:val="000721C1"/>
    <w:rsid w:val="000722BC"/>
    <w:rsid w:val="000722CE"/>
    <w:rsid w:val="000723A1"/>
    <w:rsid w:val="00072720"/>
    <w:rsid w:val="00072990"/>
    <w:rsid w:val="00072A75"/>
    <w:rsid w:val="00072AD3"/>
    <w:rsid w:val="00072B8B"/>
    <w:rsid w:val="0007376D"/>
    <w:rsid w:val="000738EB"/>
    <w:rsid w:val="00073A6E"/>
    <w:rsid w:val="00074354"/>
    <w:rsid w:val="000743C6"/>
    <w:rsid w:val="0007479D"/>
    <w:rsid w:val="000748D5"/>
    <w:rsid w:val="000748FD"/>
    <w:rsid w:val="00074C0B"/>
    <w:rsid w:val="00074D4C"/>
    <w:rsid w:val="00074EBE"/>
    <w:rsid w:val="000754A2"/>
    <w:rsid w:val="0007574A"/>
    <w:rsid w:val="00075795"/>
    <w:rsid w:val="000757A9"/>
    <w:rsid w:val="00075947"/>
    <w:rsid w:val="000759EC"/>
    <w:rsid w:val="00075AF0"/>
    <w:rsid w:val="00075BC8"/>
    <w:rsid w:val="00075E84"/>
    <w:rsid w:val="00075FEF"/>
    <w:rsid w:val="00076047"/>
    <w:rsid w:val="00076342"/>
    <w:rsid w:val="00076417"/>
    <w:rsid w:val="0007678C"/>
    <w:rsid w:val="0007688D"/>
    <w:rsid w:val="000769DB"/>
    <w:rsid w:val="00076C08"/>
    <w:rsid w:val="00076CB7"/>
    <w:rsid w:val="00077169"/>
    <w:rsid w:val="000771A7"/>
    <w:rsid w:val="00077539"/>
    <w:rsid w:val="000778D4"/>
    <w:rsid w:val="00077ADA"/>
    <w:rsid w:val="00077DDF"/>
    <w:rsid w:val="00077E82"/>
    <w:rsid w:val="00077F9A"/>
    <w:rsid w:val="00080013"/>
    <w:rsid w:val="0008053E"/>
    <w:rsid w:val="0008054C"/>
    <w:rsid w:val="00080678"/>
    <w:rsid w:val="00080707"/>
    <w:rsid w:val="000808A7"/>
    <w:rsid w:val="00080A54"/>
    <w:rsid w:val="00080AE1"/>
    <w:rsid w:val="00080ECC"/>
    <w:rsid w:val="00080F70"/>
    <w:rsid w:val="0008131B"/>
    <w:rsid w:val="0008139D"/>
    <w:rsid w:val="000813D8"/>
    <w:rsid w:val="000818E2"/>
    <w:rsid w:val="00081990"/>
    <w:rsid w:val="00081A50"/>
    <w:rsid w:val="00081B87"/>
    <w:rsid w:val="00081BA1"/>
    <w:rsid w:val="00081D96"/>
    <w:rsid w:val="0008206F"/>
    <w:rsid w:val="000823D5"/>
    <w:rsid w:val="0008245A"/>
    <w:rsid w:val="00082521"/>
    <w:rsid w:val="00082636"/>
    <w:rsid w:val="00082668"/>
    <w:rsid w:val="00082735"/>
    <w:rsid w:val="0008285D"/>
    <w:rsid w:val="000829E7"/>
    <w:rsid w:val="000829E8"/>
    <w:rsid w:val="00082C65"/>
    <w:rsid w:val="00082ED1"/>
    <w:rsid w:val="000831DC"/>
    <w:rsid w:val="000833F0"/>
    <w:rsid w:val="000834CB"/>
    <w:rsid w:val="00083758"/>
    <w:rsid w:val="00083779"/>
    <w:rsid w:val="000837F3"/>
    <w:rsid w:val="000839C8"/>
    <w:rsid w:val="00083B10"/>
    <w:rsid w:val="00083FC2"/>
    <w:rsid w:val="00084303"/>
    <w:rsid w:val="00084521"/>
    <w:rsid w:val="00084613"/>
    <w:rsid w:val="0008468B"/>
    <w:rsid w:val="00084853"/>
    <w:rsid w:val="000848C1"/>
    <w:rsid w:val="00084CF8"/>
    <w:rsid w:val="00084EFE"/>
    <w:rsid w:val="00084FAB"/>
    <w:rsid w:val="0008546D"/>
    <w:rsid w:val="000856CC"/>
    <w:rsid w:val="00085888"/>
    <w:rsid w:val="00085A02"/>
    <w:rsid w:val="00085C03"/>
    <w:rsid w:val="00085D0A"/>
    <w:rsid w:val="00085DB3"/>
    <w:rsid w:val="00085DEE"/>
    <w:rsid w:val="00085F03"/>
    <w:rsid w:val="00086539"/>
    <w:rsid w:val="00086579"/>
    <w:rsid w:val="0008685D"/>
    <w:rsid w:val="00086B62"/>
    <w:rsid w:val="00086E0A"/>
    <w:rsid w:val="00086E85"/>
    <w:rsid w:val="0008704A"/>
    <w:rsid w:val="000870F1"/>
    <w:rsid w:val="0008720D"/>
    <w:rsid w:val="00087265"/>
    <w:rsid w:val="000875D7"/>
    <w:rsid w:val="00087E40"/>
    <w:rsid w:val="00090039"/>
    <w:rsid w:val="000902D2"/>
    <w:rsid w:val="00090428"/>
    <w:rsid w:val="0009083E"/>
    <w:rsid w:val="00090DD2"/>
    <w:rsid w:val="00091080"/>
    <w:rsid w:val="0009108B"/>
    <w:rsid w:val="000917C7"/>
    <w:rsid w:val="000919B7"/>
    <w:rsid w:val="00091A21"/>
    <w:rsid w:val="00091CB9"/>
    <w:rsid w:val="00091DD4"/>
    <w:rsid w:val="00091EBB"/>
    <w:rsid w:val="00092971"/>
    <w:rsid w:val="00092C16"/>
    <w:rsid w:val="000930DA"/>
    <w:rsid w:val="00093CDD"/>
    <w:rsid w:val="0009428C"/>
    <w:rsid w:val="00094510"/>
    <w:rsid w:val="0009452F"/>
    <w:rsid w:val="0009468A"/>
    <w:rsid w:val="00094951"/>
    <w:rsid w:val="00094975"/>
    <w:rsid w:val="00094E48"/>
    <w:rsid w:val="00094FCF"/>
    <w:rsid w:val="000952B3"/>
    <w:rsid w:val="000952C9"/>
    <w:rsid w:val="00095308"/>
    <w:rsid w:val="000958BA"/>
    <w:rsid w:val="00095B79"/>
    <w:rsid w:val="00095BD9"/>
    <w:rsid w:val="00095D4A"/>
    <w:rsid w:val="00096027"/>
    <w:rsid w:val="00096110"/>
    <w:rsid w:val="00096172"/>
    <w:rsid w:val="000963CC"/>
    <w:rsid w:val="000963E6"/>
    <w:rsid w:val="00096435"/>
    <w:rsid w:val="00096AD3"/>
    <w:rsid w:val="00096C26"/>
    <w:rsid w:val="0009713B"/>
    <w:rsid w:val="00097383"/>
    <w:rsid w:val="0009765B"/>
    <w:rsid w:val="000976D6"/>
    <w:rsid w:val="00097AF9"/>
    <w:rsid w:val="000A004A"/>
    <w:rsid w:val="000A00D4"/>
    <w:rsid w:val="000A02F4"/>
    <w:rsid w:val="000A036A"/>
    <w:rsid w:val="000A0719"/>
    <w:rsid w:val="000A07D7"/>
    <w:rsid w:val="000A09AB"/>
    <w:rsid w:val="000A09B9"/>
    <w:rsid w:val="000A0A63"/>
    <w:rsid w:val="000A0ADD"/>
    <w:rsid w:val="000A10BA"/>
    <w:rsid w:val="000A1292"/>
    <w:rsid w:val="000A1311"/>
    <w:rsid w:val="000A1AC7"/>
    <w:rsid w:val="000A1E06"/>
    <w:rsid w:val="000A2181"/>
    <w:rsid w:val="000A238E"/>
    <w:rsid w:val="000A249A"/>
    <w:rsid w:val="000A2502"/>
    <w:rsid w:val="000A275E"/>
    <w:rsid w:val="000A2BE5"/>
    <w:rsid w:val="000A2DC4"/>
    <w:rsid w:val="000A2DE1"/>
    <w:rsid w:val="000A311C"/>
    <w:rsid w:val="000A3193"/>
    <w:rsid w:val="000A347A"/>
    <w:rsid w:val="000A358B"/>
    <w:rsid w:val="000A3616"/>
    <w:rsid w:val="000A3887"/>
    <w:rsid w:val="000A3B80"/>
    <w:rsid w:val="000A3D43"/>
    <w:rsid w:val="000A3F2E"/>
    <w:rsid w:val="000A4255"/>
    <w:rsid w:val="000A432A"/>
    <w:rsid w:val="000A449D"/>
    <w:rsid w:val="000A471B"/>
    <w:rsid w:val="000A4799"/>
    <w:rsid w:val="000A4B3E"/>
    <w:rsid w:val="000A4C80"/>
    <w:rsid w:val="000A4E2F"/>
    <w:rsid w:val="000A509B"/>
    <w:rsid w:val="000A5444"/>
    <w:rsid w:val="000A560A"/>
    <w:rsid w:val="000A5857"/>
    <w:rsid w:val="000A5BB5"/>
    <w:rsid w:val="000A5C18"/>
    <w:rsid w:val="000A6AE8"/>
    <w:rsid w:val="000A6D13"/>
    <w:rsid w:val="000A6E3E"/>
    <w:rsid w:val="000A7047"/>
    <w:rsid w:val="000A7C0A"/>
    <w:rsid w:val="000A7FA3"/>
    <w:rsid w:val="000B0569"/>
    <w:rsid w:val="000B0654"/>
    <w:rsid w:val="000B0A0F"/>
    <w:rsid w:val="000B0C43"/>
    <w:rsid w:val="000B0DA1"/>
    <w:rsid w:val="000B0DDF"/>
    <w:rsid w:val="000B1081"/>
    <w:rsid w:val="000B1593"/>
    <w:rsid w:val="000B15A8"/>
    <w:rsid w:val="000B1627"/>
    <w:rsid w:val="000B18BF"/>
    <w:rsid w:val="000B18CD"/>
    <w:rsid w:val="000B1D4E"/>
    <w:rsid w:val="000B1DD5"/>
    <w:rsid w:val="000B1E94"/>
    <w:rsid w:val="000B1ECA"/>
    <w:rsid w:val="000B224D"/>
    <w:rsid w:val="000B284D"/>
    <w:rsid w:val="000B2DE2"/>
    <w:rsid w:val="000B2F30"/>
    <w:rsid w:val="000B3600"/>
    <w:rsid w:val="000B38DB"/>
    <w:rsid w:val="000B3B9B"/>
    <w:rsid w:val="000B3F08"/>
    <w:rsid w:val="000B4167"/>
    <w:rsid w:val="000B4385"/>
    <w:rsid w:val="000B4529"/>
    <w:rsid w:val="000B4559"/>
    <w:rsid w:val="000B48EF"/>
    <w:rsid w:val="000B4A59"/>
    <w:rsid w:val="000B4A90"/>
    <w:rsid w:val="000B4BE7"/>
    <w:rsid w:val="000B4C29"/>
    <w:rsid w:val="000B4CEE"/>
    <w:rsid w:val="000B4D44"/>
    <w:rsid w:val="000B4EFE"/>
    <w:rsid w:val="000B5020"/>
    <w:rsid w:val="000B5029"/>
    <w:rsid w:val="000B54EF"/>
    <w:rsid w:val="000B5514"/>
    <w:rsid w:val="000B58D0"/>
    <w:rsid w:val="000B5A3A"/>
    <w:rsid w:val="000B5CC2"/>
    <w:rsid w:val="000B5CF7"/>
    <w:rsid w:val="000B5FBD"/>
    <w:rsid w:val="000B6050"/>
    <w:rsid w:val="000B611B"/>
    <w:rsid w:val="000B6152"/>
    <w:rsid w:val="000B61F8"/>
    <w:rsid w:val="000B63EB"/>
    <w:rsid w:val="000B6852"/>
    <w:rsid w:val="000B6B6F"/>
    <w:rsid w:val="000B6D92"/>
    <w:rsid w:val="000B6E18"/>
    <w:rsid w:val="000B7019"/>
    <w:rsid w:val="000B7305"/>
    <w:rsid w:val="000B7519"/>
    <w:rsid w:val="000B78FF"/>
    <w:rsid w:val="000B7D1B"/>
    <w:rsid w:val="000C0234"/>
    <w:rsid w:val="000C04DD"/>
    <w:rsid w:val="000C0624"/>
    <w:rsid w:val="000C06F5"/>
    <w:rsid w:val="000C0E8F"/>
    <w:rsid w:val="000C0F84"/>
    <w:rsid w:val="000C118D"/>
    <w:rsid w:val="000C135F"/>
    <w:rsid w:val="000C1885"/>
    <w:rsid w:val="000C1920"/>
    <w:rsid w:val="000C1A3F"/>
    <w:rsid w:val="000C1A7A"/>
    <w:rsid w:val="000C1BC6"/>
    <w:rsid w:val="000C24BF"/>
    <w:rsid w:val="000C264C"/>
    <w:rsid w:val="000C27EA"/>
    <w:rsid w:val="000C2819"/>
    <w:rsid w:val="000C2855"/>
    <w:rsid w:val="000C29EB"/>
    <w:rsid w:val="000C2A5D"/>
    <w:rsid w:val="000C2B69"/>
    <w:rsid w:val="000C2CC2"/>
    <w:rsid w:val="000C2D0B"/>
    <w:rsid w:val="000C351B"/>
    <w:rsid w:val="000C3652"/>
    <w:rsid w:val="000C390D"/>
    <w:rsid w:val="000C394C"/>
    <w:rsid w:val="000C3DE5"/>
    <w:rsid w:val="000C3EED"/>
    <w:rsid w:val="000C40A1"/>
    <w:rsid w:val="000C4277"/>
    <w:rsid w:val="000C463D"/>
    <w:rsid w:val="000C48AB"/>
    <w:rsid w:val="000C495D"/>
    <w:rsid w:val="000C5153"/>
    <w:rsid w:val="000C5598"/>
    <w:rsid w:val="000C56A5"/>
    <w:rsid w:val="000C5865"/>
    <w:rsid w:val="000C5876"/>
    <w:rsid w:val="000C593E"/>
    <w:rsid w:val="000C5C01"/>
    <w:rsid w:val="000C5C5A"/>
    <w:rsid w:val="000C5D1A"/>
    <w:rsid w:val="000C613D"/>
    <w:rsid w:val="000C6328"/>
    <w:rsid w:val="000C6494"/>
    <w:rsid w:val="000C673B"/>
    <w:rsid w:val="000C676C"/>
    <w:rsid w:val="000C6786"/>
    <w:rsid w:val="000C67C4"/>
    <w:rsid w:val="000C69A8"/>
    <w:rsid w:val="000C6C8D"/>
    <w:rsid w:val="000C6CF9"/>
    <w:rsid w:val="000C6E2B"/>
    <w:rsid w:val="000C71EF"/>
    <w:rsid w:val="000C7302"/>
    <w:rsid w:val="000C7533"/>
    <w:rsid w:val="000C75AE"/>
    <w:rsid w:val="000C75C5"/>
    <w:rsid w:val="000C774B"/>
    <w:rsid w:val="000C7850"/>
    <w:rsid w:val="000C79B7"/>
    <w:rsid w:val="000C7BC0"/>
    <w:rsid w:val="000C7BF3"/>
    <w:rsid w:val="000C7FBE"/>
    <w:rsid w:val="000D010E"/>
    <w:rsid w:val="000D0654"/>
    <w:rsid w:val="000D06EB"/>
    <w:rsid w:val="000D081E"/>
    <w:rsid w:val="000D0959"/>
    <w:rsid w:val="000D0C7F"/>
    <w:rsid w:val="000D0D88"/>
    <w:rsid w:val="000D1063"/>
    <w:rsid w:val="000D119D"/>
    <w:rsid w:val="000D11BE"/>
    <w:rsid w:val="000D12F8"/>
    <w:rsid w:val="000D1432"/>
    <w:rsid w:val="000D15AD"/>
    <w:rsid w:val="000D186A"/>
    <w:rsid w:val="000D1BD7"/>
    <w:rsid w:val="000D2077"/>
    <w:rsid w:val="000D2086"/>
    <w:rsid w:val="000D2184"/>
    <w:rsid w:val="000D2188"/>
    <w:rsid w:val="000D230C"/>
    <w:rsid w:val="000D2585"/>
    <w:rsid w:val="000D26DC"/>
    <w:rsid w:val="000D276D"/>
    <w:rsid w:val="000D27D7"/>
    <w:rsid w:val="000D28FC"/>
    <w:rsid w:val="000D2999"/>
    <w:rsid w:val="000D2E54"/>
    <w:rsid w:val="000D2FC2"/>
    <w:rsid w:val="000D30FF"/>
    <w:rsid w:val="000D313D"/>
    <w:rsid w:val="000D3369"/>
    <w:rsid w:val="000D34C6"/>
    <w:rsid w:val="000D38FA"/>
    <w:rsid w:val="000D398D"/>
    <w:rsid w:val="000D445D"/>
    <w:rsid w:val="000D45CA"/>
    <w:rsid w:val="000D47EB"/>
    <w:rsid w:val="000D4936"/>
    <w:rsid w:val="000D4D99"/>
    <w:rsid w:val="000D4FB7"/>
    <w:rsid w:val="000D512C"/>
    <w:rsid w:val="000D5326"/>
    <w:rsid w:val="000D5431"/>
    <w:rsid w:val="000D55EE"/>
    <w:rsid w:val="000D5718"/>
    <w:rsid w:val="000D5823"/>
    <w:rsid w:val="000D58C0"/>
    <w:rsid w:val="000D58C8"/>
    <w:rsid w:val="000D5988"/>
    <w:rsid w:val="000D5FD9"/>
    <w:rsid w:val="000D6137"/>
    <w:rsid w:val="000D616B"/>
    <w:rsid w:val="000D62A8"/>
    <w:rsid w:val="000D637F"/>
    <w:rsid w:val="000D647F"/>
    <w:rsid w:val="000D6829"/>
    <w:rsid w:val="000D6AF6"/>
    <w:rsid w:val="000D6CCB"/>
    <w:rsid w:val="000D6D61"/>
    <w:rsid w:val="000D72BE"/>
    <w:rsid w:val="000D72C1"/>
    <w:rsid w:val="000D7674"/>
    <w:rsid w:val="000D7892"/>
    <w:rsid w:val="000D7C66"/>
    <w:rsid w:val="000D7C79"/>
    <w:rsid w:val="000D7CE1"/>
    <w:rsid w:val="000D7FA1"/>
    <w:rsid w:val="000E0133"/>
    <w:rsid w:val="000E09A8"/>
    <w:rsid w:val="000E0C0D"/>
    <w:rsid w:val="000E0DB9"/>
    <w:rsid w:val="000E0DBC"/>
    <w:rsid w:val="000E17B2"/>
    <w:rsid w:val="000E1FA4"/>
    <w:rsid w:val="000E20D5"/>
    <w:rsid w:val="000E24C6"/>
    <w:rsid w:val="000E26CB"/>
    <w:rsid w:val="000E2787"/>
    <w:rsid w:val="000E29AB"/>
    <w:rsid w:val="000E29F5"/>
    <w:rsid w:val="000E2D7B"/>
    <w:rsid w:val="000E2DAE"/>
    <w:rsid w:val="000E3240"/>
    <w:rsid w:val="000E3384"/>
    <w:rsid w:val="000E346C"/>
    <w:rsid w:val="000E3517"/>
    <w:rsid w:val="000E3671"/>
    <w:rsid w:val="000E3805"/>
    <w:rsid w:val="000E386A"/>
    <w:rsid w:val="000E3B4C"/>
    <w:rsid w:val="000E3F2F"/>
    <w:rsid w:val="000E412C"/>
    <w:rsid w:val="000E4192"/>
    <w:rsid w:val="000E449C"/>
    <w:rsid w:val="000E45D5"/>
    <w:rsid w:val="000E4833"/>
    <w:rsid w:val="000E483F"/>
    <w:rsid w:val="000E4EF1"/>
    <w:rsid w:val="000E5287"/>
    <w:rsid w:val="000E5995"/>
    <w:rsid w:val="000E59CA"/>
    <w:rsid w:val="000E59E2"/>
    <w:rsid w:val="000E6200"/>
    <w:rsid w:val="000E6511"/>
    <w:rsid w:val="000E6868"/>
    <w:rsid w:val="000E6A17"/>
    <w:rsid w:val="000E6BA2"/>
    <w:rsid w:val="000E6CE6"/>
    <w:rsid w:val="000E6D4F"/>
    <w:rsid w:val="000E7173"/>
    <w:rsid w:val="000E77EB"/>
    <w:rsid w:val="000E7B3F"/>
    <w:rsid w:val="000E7C26"/>
    <w:rsid w:val="000E7F8F"/>
    <w:rsid w:val="000F0118"/>
    <w:rsid w:val="000F047D"/>
    <w:rsid w:val="000F05BC"/>
    <w:rsid w:val="000F0734"/>
    <w:rsid w:val="000F0952"/>
    <w:rsid w:val="000F0ED4"/>
    <w:rsid w:val="000F0F0C"/>
    <w:rsid w:val="000F0F68"/>
    <w:rsid w:val="000F1430"/>
    <w:rsid w:val="000F1557"/>
    <w:rsid w:val="000F157C"/>
    <w:rsid w:val="000F1798"/>
    <w:rsid w:val="000F18E0"/>
    <w:rsid w:val="000F1B51"/>
    <w:rsid w:val="000F1C5E"/>
    <w:rsid w:val="000F1E95"/>
    <w:rsid w:val="000F1F2A"/>
    <w:rsid w:val="000F23C2"/>
    <w:rsid w:val="000F23E4"/>
    <w:rsid w:val="000F252F"/>
    <w:rsid w:val="000F253C"/>
    <w:rsid w:val="000F2956"/>
    <w:rsid w:val="000F2A07"/>
    <w:rsid w:val="000F2C86"/>
    <w:rsid w:val="000F2CB3"/>
    <w:rsid w:val="000F2D03"/>
    <w:rsid w:val="000F2D4F"/>
    <w:rsid w:val="000F2E03"/>
    <w:rsid w:val="000F2F33"/>
    <w:rsid w:val="000F30E5"/>
    <w:rsid w:val="000F311B"/>
    <w:rsid w:val="000F3261"/>
    <w:rsid w:val="000F3478"/>
    <w:rsid w:val="000F37D1"/>
    <w:rsid w:val="000F380F"/>
    <w:rsid w:val="000F392F"/>
    <w:rsid w:val="000F3B98"/>
    <w:rsid w:val="000F3D41"/>
    <w:rsid w:val="000F40DF"/>
    <w:rsid w:val="000F41C5"/>
    <w:rsid w:val="000F42DC"/>
    <w:rsid w:val="000F43B2"/>
    <w:rsid w:val="000F4F3B"/>
    <w:rsid w:val="000F4FB8"/>
    <w:rsid w:val="000F50AB"/>
    <w:rsid w:val="000F50D5"/>
    <w:rsid w:val="000F5173"/>
    <w:rsid w:val="000F575C"/>
    <w:rsid w:val="000F578A"/>
    <w:rsid w:val="000F5998"/>
    <w:rsid w:val="000F5E4B"/>
    <w:rsid w:val="000F6134"/>
    <w:rsid w:val="000F6188"/>
    <w:rsid w:val="000F61BD"/>
    <w:rsid w:val="000F6204"/>
    <w:rsid w:val="000F6634"/>
    <w:rsid w:val="000F678D"/>
    <w:rsid w:val="000F6BA0"/>
    <w:rsid w:val="000F6C35"/>
    <w:rsid w:val="000F6CCD"/>
    <w:rsid w:val="000F7111"/>
    <w:rsid w:val="000F7287"/>
    <w:rsid w:val="000F7307"/>
    <w:rsid w:val="000F7469"/>
    <w:rsid w:val="000F76A7"/>
    <w:rsid w:val="000F76CA"/>
    <w:rsid w:val="000F7811"/>
    <w:rsid w:val="000F7B28"/>
    <w:rsid w:val="000F7B58"/>
    <w:rsid w:val="000F7F38"/>
    <w:rsid w:val="000F7FEF"/>
    <w:rsid w:val="00100197"/>
    <w:rsid w:val="00100383"/>
    <w:rsid w:val="001006E7"/>
    <w:rsid w:val="0010088F"/>
    <w:rsid w:val="00100A1D"/>
    <w:rsid w:val="00100A57"/>
    <w:rsid w:val="00100BB6"/>
    <w:rsid w:val="00100C90"/>
    <w:rsid w:val="00100D27"/>
    <w:rsid w:val="00101E46"/>
    <w:rsid w:val="001020E1"/>
    <w:rsid w:val="00102215"/>
    <w:rsid w:val="001024D8"/>
    <w:rsid w:val="001025CA"/>
    <w:rsid w:val="00102607"/>
    <w:rsid w:val="0010277F"/>
    <w:rsid w:val="0010278B"/>
    <w:rsid w:val="001028F7"/>
    <w:rsid w:val="00103063"/>
    <w:rsid w:val="00103123"/>
    <w:rsid w:val="0010315B"/>
    <w:rsid w:val="00103240"/>
    <w:rsid w:val="00103493"/>
    <w:rsid w:val="001037FE"/>
    <w:rsid w:val="00103AB0"/>
    <w:rsid w:val="00103B14"/>
    <w:rsid w:val="00103CB1"/>
    <w:rsid w:val="00103F1D"/>
    <w:rsid w:val="0010413A"/>
    <w:rsid w:val="001042E2"/>
    <w:rsid w:val="00104533"/>
    <w:rsid w:val="00104863"/>
    <w:rsid w:val="00104AE6"/>
    <w:rsid w:val="00104B3B"/>
    <w:rsid w:val="00104BA5"/>
    <w:rsid w:val="00104CB1"/>
    <w:rsid w:val="00104E7C"/>
    <w:rsid w:val="001052C4"/>
    <w:rsid w:val="001052E7"/>
    <w:rsid w:val="0010535B"/>
    <w:rsid w:val="001053A9"/>
    <w:rsid w:val="00105434"/>
    <w:rsid w:val="001054CF"/>
    <w:rsid w:val="0010576F"/>
    <w:rsid w:val="001059AB"/>
    <w:rsid w:val="00105A7E"/>
    <w:rsid w:val="00105C35"/>
    <w:rsid w:val="00105D18"/>
    <w:rsid w:val="00105ED7"/>
    <w:rsid w:val="001060DD"/>
    <w:rsid w:val="001062EE"/>
    <w:rsid w:val="001063B5"/>
    <w:rsid w:val="0010644A"/>
    <w:rsid w:val="001064C6"/>
    <w:rsid w:val="001066B1"/>
    <w:rsid w:val="00106A1B"/>
    <w:rsid w:val="00106B40"/>
    <w:rsid w:val="00106D0C"/>
    <w:rsid w:val="00106DC2"/>
    <w:rsid w:val="00106E36"/>
    <w:rsid w:val="00106E95"/>
    <w:rsid w:val="00106F6D"/>
    <w:rsid w:val="00106F89"/>
    <w:rsid w:val="001071BA"/>
    <w:rsid w:val="00107266"/>
    <w:rsid w:val="001075B4"/>
    <w:rsid w:val="00107717"/>
    <w:rsid w:val="001079B0"/>
    <w:rsid w:val="00107BDC"/>
    <w:rsid w:val="00107C94"/>
    <w:rsid w:val="00107F7C"/>
    <w:rsid w:val="001100B7"/>
    <w:rsid w:val="001105C7"/>
    <w:rsid w:val="00110B89"/>
    <w:rsid w:val="00110CBB"/>
    <w:rsid w:val="00110E6F"/>
    <w:rsid w:val="00110F95"/>
    <w:rsid w:val="00110FEC"/>
    <w:rsid w:val="00111071"/>
    <w:rsid w:val="00111198"/>
    <w:rsid w:val="001111C9"/>
    <w:rsid w:val="001117F4"/>
    <w:rsid w:val="0011184D"/>
    <w:rsid w:val="00111B84"/>
    <w:rsid w:val="00111E53"/>
    <w:rsid w:val="00111F87"/>
    <w:rsid w:val="001127CD"/>
    <w:rsid w:val="0011292B"/>
    <w:rsid w:val="00112932"/>
    <w:rsid w:val="00112C3A"/>
    <w:rsid w:val="00112CD1"/>
    <w:rsid w:val="00112D03"/>
    <w:rsid w:val="00112E4F"/>
    <w:rsid w:val="00112F3B"/>
    <w:rsid w:val="00112FBE"/>
    <w:rsid w:val="001131E0"/>
    <w:rsid w:val="001132F2"/>
    <w:rsid w:val="00113534"/>
    <w:rsid w:val="00113D25"/>
    <w:rsid w:val="00113D2A"/>
    <w:rsid w:val="001140D6"/>
    <w:rsid w:val="001142D0"/>
    <w:rsid w:val="0011430D"/>
    <w:rsid w:val="0011454C"/>
    <w:rsid w:val="001145BD"/>
    <w:rsid w:val="001145D0"/>
    <w:rsid w:val="00114769"/>
    <w:rsid w:val="00114BFF"/>
    <w:rsid w:val="00115214"/>
    <w:rsid w:val="001152C2"/>
    <w:rsid w:val="00115301"/>
    <w:rsid w:val="001153A3"/>
    <w:rsid w:val="00115491"/>
    <w:rsid w:val="00115527"/>
    <w:rsid w:val="00115578"/>
    <w:rsid w:val="00115682"/>
    <w:rsid w:val="00115737"/>
    <w:rsid w:val="00115771"/>
    <w:rsid w:val="001159C0"/>
    <w:rsid w:val="00115A79"/>
    <w:rsid w:val="00115B49"/>
    <w:rsid w:val="00115DD8"/>
    <w:rsid w:val="001160C3"/>
    <w:rsid w:val="00116304"/>
    <w:rsid w:val="00116B62"/>
    <w:rsid w:val="00116D4C"/>
    <w:rsid w:val="00117053"/>
    <w:rsid w:val="001174DD"/>
    <w:rsid w:val="001178F4"/>
    <w:rsid w:val="00117A4B"/>
    <w:rsid w:val="00117A95"/>
    <w:rsid w:val="00117D5B"/>
    <w:rsid w:val="00120019"/>
    <w:rsid w:val="00120258"/>
    <w:rsid w:val="0012029B"/>
    <w:rsid w:val="001203D4"/>
    <w:rsid w:val="00120438"/>
    <w:rsid w:val="00120777"/>
    <w:rsid w:val="0012089E"/>
    <w:rsid w:val="00120A03"/>
    <w:rsid w:val="00120C08"/>
    <w:rsid w:val="00120F4B"/>
    <w:rsid w:val="001210B5"/>
    <w:rsid w:val="001211F6"/>
    <w:rsid w:val="00121432"/>
    <w:rsid w:val="001214B4"/>
    <w:rsid w:val="001214ED"/>
    <w:rsid w:val="00121974"/>
    <w:rsid w:val="00121D8B"/>
    <w:rsid w:val="001224C5"/>
    <w:rsid w:val="0012259B"/>
    <w:rsid w:val="00122623"/>
    <w:rsid w:val="00122836"/>
    <w:rsid w:val="00122A3E"/>
    <w:rsid w:val="00122F08"/>
    <w:rsid w:val="00122F69"/>
    <w:rsid w:val="001230BE"/>
    <w:rsid w:val="00123440"/>
    <w:rsid w:val="0012346E"/>
    <w:rsid w:val="0012352C"/>
    <w:rsid w:val="0012364D"/>
    <w:rsid w:val="001237C0"/>
    <w:rsid w:val="00123A4A"/>
    <w:rsid w:val="00123C83"/>
    <w:rsid w:val="00124174"/>
    <w:rsid w:val="00124199"/>
    <w:rsid w:val="001242E2"/>
    <w:rsid w:val="001243BA"/>
    <w:rsid w:val="00124934"/>
    <w:rsid w:val="00124A45"/>
    <w:rsid w:val="00124FDC"/>
    <w:rsid w:val="00124FF6"/>
    <w:rsid w:val="00125136"/>
    <w:rsid w:val="001252A3"/>
    <w:rsid w:val="00125468"/>
    <w:rsid w:val="00125758"/>
    <w:rsid w:val="00125910"/>
    <w:rsid w:val="00125B9A"/>
    <w:rsid w:val="00125C08"/>
    <w:rsid w:val="00126082"/>
    <w:rsid w:val="001260A3"/>
    <w:rsid w:val="00126217"/>
    <w:rsid w:val="00126520"/>
    <w:rsid w:val="001265C3"/>
    <w:rsid w:val="0012662B"/>
    <w:rsid w:val="00126703"/>
    <w:rsid w:val="00126829"/>
    <w:rsid w:val="0012697D"/>
    <w:rsid w:val="001269D9"/>
    <w:rsid w:val="00126CDD"/>
    <w:rsid w:val="00126CFA"/>
    <w:rsid w:val="00127163"/>
    <w:rsid w:val="001272BC"/>
    <w:rsid w:val="00127366"/>
    <w:rsid w:val="00127665"/>
    <w:rsid w:val="00127A7C"/>
    <w:rsid w:val="00127B84"/>
    <w:rsid w:val="00127FC5"/>
    <w:rsid w:val="001302BE"/>
    <w:rsid w:val="0013058D"/>
    <w:rsid w:val="00130741"/>
    <w:rsid w:val="0013084F"/>
    <w:rsid w:val="00130899"/>
    <w:rsid w:val="001310CA"/>
    <w:rsid w:val="0013126A"/>
    <w:rsid w:val="001312BB"/>
    <w:rsid w:val="0013131C"/>
    <w:rsid w:val="0013164F"/>
    <w:rsid w:val="00131792"/>
    <w:rsid w:val="0013198E"/>
    <w:rsid w:val="001319C1"/>
    <w:rsid w:val="00131C52"/>
    <w:rsid w:val="00131CBD"/>
    <w:rsid w:val="00131E20"/>
    <w:rsid w:val="00131E4D"/>
    <w:rsid w:val="00132012"/>
    <w:rsid w:val="00132131"/>
    <w:rsid w:val="001321DF"/>
    <w:rsid w:val="00132515"/>
    <w:rsid w:val="00132544"/>
    <w:rsid w:val="00132DCF"/>
    <w:rsid w:val="001333A7"/>
    <w:rsid w:val="00133877"/>
    <w:rsid w:val="00133A6F"/>
    <w:rsid w:val="00133B72"/>
    <w:rsid w:val="00133F37"/>
    <w:rsid w:val="0013534A"/>
    <w:rsid w:val="001355A4"/>
    <w:rsid w:val="001358B3"/>
    <w:rsid w:val="001358E3"/>
    <w:rsid w:val="00135C55"/>
    <w:rsid w:val="00135D32"/>
    <w:rsid w:val="00135EDA"/>
    <w:rsid w:val="00136382"/>
    <w:rsid w:val="00136409"/>
    <w:rsid w:val="00136411"/>
    <w:rsid w:val="0013642B"/>
    <w:rsid w:val="001365B6"/>
    <w:rsid w:val="00136755"/>
    <w:rsid w:val="0013693E"/>
    <w:rsid w:val="00136CD1"/>
    <w:rsid w:val="00136E02"/>
    <w:rsid w:val="001372CD"/>
    <w:rsid w:val="0013760C"/>
    <w:rsid w:val="001379FF"/>
    <w:rsid w:val="00137A1E"/>
    <w:rsid w:val="00137C25"/>
    <w:rsid w:val="00137C29"/>
    <w:rsid w:val="00140272"/>
    <w:rsid w:val="00140543"/>
    <w:rsid w:val="00140635"/>
    <w:rsid w:val="001406AE"/>
    <w:rsid w:val="00140958"/>
    <w:rsid w:val="00140BD0"/>
    <w:rsid w:val="00140EFA"/>
    <w:rsid w:val="0014111C"/>
    <w:rsid w:val="00141184"/>
    <w:rsid w:val="001411C9"/>
    <w:rsid w:val="001414D2"/>
    <w:rsid w:val="0014171F"/>
    <w:rsid w:val="0014177A"/>
    <w:rsid w:val="001417C2"/>
    <w:rsid w:val="00141937"/>
    <w:rsid w:val="001419C6"/>
    <w:rsid w:val="00141A30"/>
    <w:rsid w:val="00141B16"/>
    <w:rsid w:val="00141F4A"/>
    <w:rsid w:val="00142064"/>
    <w:rsid w:val="00142125"/>
    <w:rsid w:val="0014239F"/>
    <w:rsid w:val="0014246A"/>
    <w:rsid w:val="00142668"/>
    <w:rsid w:val="00142867"/>
    <w:rsid w:val="00142A6C"/>
    <w:rsid w:val="00142AB3"/>
    <w:rsid w:val="00142AE5"/>
    <w:rsid w:val="00142B05"/>
    <w:rsid w:val="00142B09"/>
    <w:rsid w:val="00142B3A"/>
    <w:rsid w:val="00142F34"/>
    <w:rsid w:val="00143009"/>
    <w:rsid w:val="0014325D"/>
    <w:rsid w:val="00143609"/>
    <w:rsid w:val="00143A6C"/>
    <w:rsid w:val="00143A6D"/>
    <w:rsid w:val="001440E0"/>
    <w:rsid w:val="00144528"/>
    <w:rsid w:val="0014465C"/>
    <w:rsid w:val="001446A1"/>
    <w:rsid w:val="00144949"/>
    <w:rsid w:val="001449A4"/>
    <w:rsid w:val="00144B34"/>
    <w:rsid w:val="00144B70"/>
    <w:rsid w:val="00144BD6"/>
    <w:rsid w:val="001454BD"/>
    <w:rsid w:val="001458AD"/>
    <w:rsid w:val="001461FF"/>
    <w:rsid w:val="001463F3"/>
    <w:rsid w:val="00146659"/>
    <w:rsid w:val="00146914"/>
    <w:rsid w:val="00146B39"/>
    <w:rsid w:val="00146B47"/>
    <w:rsid w:val="00146CA5"/>
    <w:rsid w:val="00146EDD"/>
    <w:rsid w:val="00146FA8"/>
    <w:rsid w:val="00147002"/>
    <w:rsid w:val="00147141"/>
    <w:rsid w:val="001471A8"/>
    <w:rsid w:val="001475C3"/>
    <w:rsid w:val="001500CE"/>
    <w:rsid w:val="001502E0"/>
    <w:rsid w:val="00150347"/>
    <w:rsid w:val="00150963"/>
    <w:rsid w:val="00150A6E"/>
    <w:rsid w:val="00150ADD"/>
    <w:rsid w:val="00150BC3"/>
    <w:rsid w:val="00150C0F"/>
    <w:rsid w:val="00150DEF"/>
    <w:rsid w:val="00150DFE"/>
    <w:rsid w:val="00151111"/>
    <w:rsid w:val="00151506"/>
    <w:rsid w:val="00151797"/>
    <w:rsid w:val="00151A5D"/>
    <w:rsid w:val="00151A85"/>
    <w:rsid w:val="00151B7F"/>
    <w:rsid w:val="00151E7F"/>
    <w:rsid w:val="0015205C"/>
    <w:rsid w:val="0015215D"/>
    <w:rsid w:val="00152336"/>
    <w:rsid w:val="0015233A"/>
    <w:rsid w:val="0015242A"/>
    <w:rsid w:val="0015265E"/>
    <w:rsid w:val="0015287A"/>
    <w:rsid w:val="001529BD"/>
    <w:rsid w:val="00152BCC"/>
    <w:rsid w:val="00152CA4"/>
    <w:rsid w:val="00152EC9"/>
    <w:rsid w:val="00153522"/>
    <w:rsid w:val="0015389E"/>
    <w:rsid w:val="00153918"/>
    <w:rsid w:val="0015394A"/>
    <w:rsid w:val="001539C8"/>
    <w:rsid w:val="00153C43"/>
    <w:rsid w:val="00153E39"/>
    <w:rsid w:val="00153FC8"/>
    <w:rsid w:val="00154150"/>
    <w:rsid w:val="001542C7"/>
    <w:rsid w:val="001544CC"/>
    <w:rsid w:val="00154606"/>
    <w:rsid w:val="00154F8F"/>
    <w:rsid w:val="00154FC0"/>
    <w:rsid w:val="0015506C"/>
    <w:rsid w:val="00155247"/>
    <w:rsid w:val="0015526F"/>
    <w:rsid w:val="00155581"/>
    <w:rsid w:val="0015584C"/>
    <w:rsid w:val="00155C80"/>
    <w:rsid w:val="00155F13"/>
    <w:rsid w:val="001560E6"/>
    <w:rsid w:val="001565E4"/>
    <w:rsid w:val="00156716"/>
    <w:rsid w:val="001568FA"/>
    <w:rsid w:val="00156E3A"/>
    <w:rsid w:val="0015728B"/>
    <w:rsid w:val="00157E73"/>
    <w:rsid w:val="00160232"/>
    <w:rsid w:val="00160368"/>
    <w:rsid w:val="0016097D"/>
    <w:rsid w:val="00161742"/>
    <w:rsid w:val="0016191A"/>
    <w:rsid w:val="00161956"/>
    <w:rsid w:val="00161D8A"/>
    <w:rsid w:val="00161DAE"/>
    <w:rsid w:val="00161F9E"/>
    <w:rsid w:val="001622A0"/>
    <w:rsid w:val="001622C5"/>
    <w:rsid w:val="0016245C"/>
    <w:rsid w:val="001627B5"/>
    <w:rsid w:val="0016281B"/>
    <w:rsid w:val="00162B70"/>
    <w:rsid w:val="00162CE8"/>
    <w:rsid w:val="001630A3"/>
    <w:rsid w:val="0016311A"/>
    <w:rsid w:val="0016322B"/>
    <w:rsid w:val="001633C2"/>
    <w:rsid w:val="0016342E"/>
    <w:rsid w:val="00163E7B"/>
    <w:rsid w:val="00163EE9"/>
    <w:rsid w:val="00164094"/>
    <w:rsid w:val="0016415F"/>
    <w:rsid w:val="0016426E"/>
    <w:rsid w:val="00164436"/>
    <w:rsid w:val="00164453"/>
    <w:rsid w:val="00164A20"/>
    <w:rsid w:val="00164C1F"/>
    <w:rsid w:val="00164E29"/>
    <w:rsid w:val="0016536F"/>
    <w:rsid w:val="001653B4"/>
    <w:rsid w:val="00165400"/>
    <w:rsid w:val="00165979"/>
    <w:rsid w:val="00165992"/>
    <w:rsid w:val="001659D8"/>
    <w:rsid w:val="00165C8E"/>
    <w:rsid w:val="0016601F"/>
    <w:rsid w:val="001660E6"/>
    <w:rsid w:val="00166154"/>
    <w:rsid w:val="001661A7"/>
    <w:rsid w:val="00166291"/>
    <w:rsid w:val="0016633C"/>
    <w:rsid w:val="0016634D"/>
    <w:rsid w:val="001665D1"/>
    <w:rsid w:val="001666D3"/>
    <w:rsid w:val="00166705"/>
    <w:rsid w:val="00166897"/>
    <w:rsid w:val="001669DD"/>
    <w:rsid w:val="00166B0A"/>
    <w:rsid w:val="00166C05"/>
    <w:rsid w:val="001670D5"/>
    <w:rsid w:val="00167219"/>
    <w:rsid w:val="001673AE"/>
    <w:rsid w:val="00167432"/>
    <w:rsid w:val="001675E5"/>
    <w:rsid w:val="00167DB7"/>
    <w:rsid w:val="00167E39"/>
    <w:rsid w:val="00167ED3"/>
    <w:rsid w:val="001702EF"/>
    <w:rsid w:val="001702F0"/>
    <w:rsid w:val="001704E6"/>
    <w:rsid w:val="001707A1"/>
    <w:rsid w:val="001708B3"/>
    <w:rsid w:val="0017097D"/>
    <w:rsid w:val="00170B4E"/>
    <w:rsid w:val="00170E30"/>
    <w:rsid w:val="00170ED7"/>
    <w:rsid w:val="0017110C"/>
    <w:rsid w:val="00171452"/>
    <w:rsid w:val="001715F1"/>
    <w:rsid w:val="00171F09"/>
    <w:rsid w:val="00171FA9"/>
    <w:rsid w:val="00172506"/>
    <w:rsid w:val="0017265A"/>
    <w:rsid w:val="00172CD2"/>
    <w:rsid w:val="001733ED"/>
    <w:rsid w:val="00173699"/>
    <w:rsid w:val="001736A9"/>
    <w:rsid w:val="00173929"/>
    <w:rsid w:val="001739FB"/>
    <w:rsid w:val="00173BF6"/>
    <w:rsid w:val="0017409F"/>
    <w:rsid w:val="001746BC"/>
    <w:rsid w:val="001748DD"/>
    <w:rsid w:val="0017491D"/>
    <w:rsid w:val="00174B7D"/>
    <w:rsid w:val="00174DC3"/>
    <w:rsid w:val="00175792"/>
    <w:rsid w:val="001757D5"/>
    <w:rsid w:val="00175803"/>
    <w:rsid w:val="00175C34"/>
    <w:rsid w:val="00175CF8"/>
    <w:rsid w:val="00175EE5"/>
    <w:rsid w:val="001768B9"/>
    <w:rsid w:val="001769EE"/>
    <w:rsid w:val="00176E20"/>
    <w:rsid w:val="00176E2F"/>
    <w:rsid w:val="00176FA4"/>
    <w:rsid w:val="0017709B"/>
    <w:rsid w:val="0017731E"/>
    <w:rsid w:val="00177426"/>
    <w:rsid w:val="0017753C"/>
    <w:rsid w:val="00177602"/>
    <w:rsid w:val="00177642"/>
    <w:rsid w:val="00177657"/>
    <w:rsid w:val="001778D1"/>
    <w:rsid w:val="00177B23"/>
    <w:rsid w:val="00177BCF"/>
    <w:rsid w:val="00177C09"/>
    <w:rsid w:val="00177CA5"/>
    <w:rsid w:val="00177D97"/>
    <w:rsid w:val="00177DB8"/>
    <w:rsid w:val="00177EC0"/>
    <w:rsid w:val="00180093"/>
    <w:rsid w:val="00180586"/>
    <w:rsid w:val="00180B52"/>
    <w:rsid w:val="00181079"/>
    <w:rsid w:val="0018139D"/>
    <w:rsid w:val="00181605"/>
    <w:rsid w:val="0018163A"/>
    <w:rsid w:val="0018192E"/>
    <w:rsid w:val="00181CE7"/>
    <w:rsid w:val="00181DBD"/>
    <w:rsid w:val="00181F7A"/>
    <w:rsid w:val="00181FAD"/>
    <w:rsid w:val="0018211A"/>
    <w:rsid w:val="00182140"/>
    <w:rsid w:val="0018246C"/>
    <w:rsid w:val="001825C4"/>
    <w:rsid w:val="001825D1"/>
    <w:rsid w:val="00182644"/>
    <w:rsid w:val="00182D0A"/>
    <w:rsid w:val="00182E2B"/>
    <w:rsid w:val="00183283"/>
    <w:rsid w:val="00183655"/>
    <w:rsid w:val="00183992"/>
    <w:rsid w:val="00183AB6"/>
    <w:rsid w:val="00183AE5"/>
    <w:rsid w:val="00183B87"/>
    <w:rsid w:val="001840D0"/>
    <w:rsid w:val="001840F1"/>
    <w:rsid w:val="00184200"/>
    <w:rsid w:val="0018455C"/>
    <w:rsid w:val="00184670"/>
    <w:rsid w:val="001846E9"/>
    <w:rsid w:val="00184802"/>
    <w:rsid w:val="001849A5"/>
    <w:rsid w:val="00184C0D"/>
    <w:rsid w:val="00184C27"/>
    <w:rsid w:val="001850C2"/>
    <w:rsid w:val="00185777"/>
    <w:rsid w:val="0018584B"/>
    <w:rsid w:val="00185866"/>
    <w:rsid w:val="00185906"/>
    <w:rsid w:val="001859CD"/>
    <w:rsid w:val="00185DF7"/>
    <w:rsid w:val="00185E6C"/>
    <w:rsid w:val="00186346"/>
    <w:rsid w:val="00186661"/>
    <w:rsid w:val="00186690"/>
    <w:rsid w:val="001868E5"/>
    <w:rsid w:val="00186CF9"/>
    <w:rsid w:val="00186F41"/>
    <w:rsid w:val="00187705"/>
    <w:rsid w:val="0018781A"/>
    <w:rsid w:val="00190082"/>
    <w:rsid w:val="00190383"/>
    <w:rsid w:val="001904AD"/>
    <w:rsid w:val="00190847"/>
    <w:rsid w:val="001908CD"/>
    <w:rsid w:val="001908E3"/>
    <w:rsid w:val="00190A2B"/>
    <w:rsid w:val="00190A94"/>
    <w:rsid w:val="00190AEB"/>
    <w:rsid w:val="00190D2D"/>
    <w:rsid w:val="00190F7F"/>
    <w:rsid w:val="00191081"/>
    <w:rsid w:val="0019118C"/>
    <w:rsid w:val="00191202"/>
    <w:rsid w:val="00191476"/>
    <w:rsid w:val="00191477"/>
    <w:rsid w:val="001914D7"/>
    <w:rsid w:val="00191507"/>
    <w:rsid w:val="0019166E"/>
    <w:rsid w:val="00191708"/>
    <w:rsid w:val="0019196C"/>
    <w:rsid w:val="0019197D"/>
    <w:rsid w:val="00191F87"/>
    <w:rsid w:val="00191FE4"/>
    <w:rsid w:val="0019207E"/>
    <w:rsid w:val="0019214D"/>
    <w:rsid w:val="001921FD"/>
    <w:rsid w:val="00192446"/>
    <w:rsid w:val="0019261A"/>
    <w:rsid w:val="00192A34"/>
    <w:rsid w:val="00192A3D"/>
    <w:rsid w:val="00192B32"/>
    <w:rsid w:val="00192C0E"/>
    <w:rsid w:val="001931F8"/>
    <w:rsid w:val="001932C2"/>
    <w:rsid w:val="00193316"/>
    <w:rsid w:val="00193B35"/>
    <w:rsid w:val="00193B5F"/>
    <w:rsid w:val="00193BB4"/>
    <w:rsid w:val="00193CC8"/>
    <w:rsid w:val="00193E6D"/>
    <w:rsid w:val="00193FF9"/>
    <w:rsid w:val="00194417"/>
    <w:rsid w:val="0019460E"/>
    <w:rsid w:val="001947B6"/>
    <w:rsid w:val="00194DC9"/>
    <w:rsid w:val="00194E4A"/>
    <w:rsid w:val="00195118"/>
    <w:rsid w:val="00195209"/>
    <w:rsid w:val="001952B7"/>
    <w:rsid w:val="00195F1E"/>
    <w:rsid w:val="00196133"/>
    <w:rsid w:val="001962B0"/>
    <w:rsid w:val="001963DE"/>
    <w:rsid w:val="00196775"/>
    <w:rsid w:val="001967DC"/>
    <w:rsid w:val="00196C69"/>
    <w:rsid w:val="0019711C"/>
    <w:rsid w:val="0019723F"/>
    <w:rsid w:val="001974C7"/>
    <w:rsid w:val="001977C2"/>
    <w:rsid w:val="001977E1"/>
    <w:rsid w:val="00197921"/>
    <w:rsid w:val="0019798D"/>
    <w:rsid w:val="00197A88"/>
    <w:rsid w:val="00197B2D"/>
    <w:rsid w:val="00197BBC"/>
    <w:rsid w:val="00197DA5"/>
    <w:rsid w:val="00197E2B"/>
    <w:rsid w:val="00197F85"/>
    <w:rsid w:val="001A02CA"/>
    <w:rsid w:val="001A0630"/>
    <w:rsid w:val="001A0714"/>
    <w:rsid w:val="001A0955"/>
    <w:rsid w:val="001A0DA1"/>
    <w:rsid w:val="001A0E7D"/>
    <w:rsid w:val="001A12BA"/>
    <w:rsid w:val="001A1478"/>
    <w:rsid w:val="001A1561"/>
    <w:rsid w:val="001A1DAC"/>
    <w:rsid w:val="001A1E30"/>
    <w:rsid w:val="001A1F3D"/>
    <w:rsid w:val="001A1F6C"/>
    <w:rsid w:val="001A24F4"/>
    <w:rsid w:val="001A2764"/>
    <w:rsid w:val="001A28B3"/>
    <w:rsid w:val="001A29F1"/>
    <w:rsid w:val="001A2B43"/>
    <w:rsid w:val="001A2C39"/>
    <w:rsid w:val="001A2CE7"/>
    <w:rsid w:val="001A337A"/>
    <w:rsid w:val="001A3453"/>
    <w:rsid w:val="001A3998"/>
    <w:rsid w:val="001A3D45"/>
    <w:rsid w:val="001A42DC"/>
    <w:rsid w:val="001A4743"/>
    <w:rsid w:val="001A47B8"/>
    <w:rsid w:val="001A4DB8"/>
    <w:rsid w:val="001A4F0E"/>
    <w:rsid w:val="001A54BB"/>
    <w:rsid w:val="001A5555"/>
    <w:rsid w:val="001A5848"/>
    <w:rsid w:val="001A58A0"/>
    <w:rsid w:val="001A5957"/>
    <w:rsid w:val="001A5B9E"/>
    <w:rsid w:val="001A5CE0"/>
    <w:rsid w:val="001A60F9"/>
    <w:rsid w:val="001A6388"/>
    <w:rsid w:val="001A660F"/>
    <w:rsid w:val="001A687B"/>
    <w:rsid w:val="001A6DE5"/>
    <w:rsid w:val="001A6FC2"/>
    <w:rsid w:val="001A7134"/>
    <w:rsid w:val="001A71B3"/>
    <w:rsid w:val="001A73C6"/>
    <w:rsid w:val="001A73D3"/>
    <w:rsid w:val="001A744E"/>
    <w:rsid w:val="001A79C1"/>
    <w:rsid w:val="001A7D32"/>
    <w:rsid w:val="001A7D86"/>
    <w:rsid w:val="001A7E9A"/>
    <w:rsid w:val="001B0407"/>
    <w:rsid w:val="001B05A9"/>
    <w:rsid w:val="001B0738"/>
    <w:rsid w:val="001B074C"/>
    <w:rsid w:val="001B08F4"/>
    <w:rsid w:val="001B0922"/>
    <w:rsid w:val="001B10C1"/>
    <w:rsid w:val="001B158B"/>
    <w:rsid w:val="001B1771"/>
    <w:rsid w:val="001B19CC"/>
    <w:rsid w:val="001B1B0A"/>
    <w:rsid w:val="001B1B2A"/>
    <w:rsid w:val="001B21D4"/>
    <w:rsid w:val="001B220A"/>
    <w:rsid w:val="001B2C5A"/>
    <w:rsid w:val="001B2D1B"/>
    <w:rsid w:val="001B3055"/>
    <w:rsid w:val="001B308D"/>
    <w:rsid w:val="001B30A3"/>
    <w:rsid w:val="001B349F"/>
    <w:rsid w:val="001B36BC"/>
    <w:rsid w:val="001B3725"/>
    <w:rsid w:val="001B37CF"/>
    <w:rsid w:val="001B37D3"/>
    <w:rsid w:val="001B3C17"/>
    <w:rsid w:val="001B3D46"/>
    <w:rsid w:val="001B4138"/>
    <w:rsid w:val="001B418B"/>
    <w:rsid w:val="001B4230"/>
    <w:rsid w:val="001B4462"/>
    <w:rsid w:val="001B480F"/>
    <w:rsid w:val="001B4945"/>
    <w:rsid w:val="001B4BAA"/>
    <w:rsid w:val="001B5233"/>
    <w:rsid w:val="001B532D"/>
    <w:rsid w:val="001B57C3"/>
    <w:rsid w:val="001B5BC1"/>
    <w:rsid w:val="001B5CD4"/>
    <w:rsid w:val="001B5E5C"/>
    <w:rsid w:val="001B5E76"/>
    <w:rsid w:val="001B60D6"/>
    <w:rsid w:val="001B62D6"/>
    <w:rsid w:val="001B65C7"/>
    <w:rsid w:val="001B6609"/>
    <w:rsid w:val="001B6823"/>
    <w:rsid w:val="001B6835"/>
    <w:rsid w:val="001B6876"/>
    <w:rsid w:val="001B699E"/>
    <w:rsid w:val="001B6CCB"/>
    <w:rsid w:val="001B6D1E"/>
    <w:rsid w:val="001B6DCD"/>
    <w:rsid w:val="001B7283"/>
    <w:rsid w:val="001B75B7"/>
    <w:rsid w:val="001B7874"/>
    <w:rsid w:val="001B7AA8"/>
    <w:rsid w:val="001B7D91"/>
    <w:rsid w:val="001B7E53"/>
    <w:rsid w:val="001B7E9A"/>
    <w:rsid w:val="001B7EF5"/>
    <w:rsid w:val="001B7F06"/>
    <w:rsid w:val="001B7FF3"/>
    <w:rsid w:val="001B7FF9"/>
    <w:rsid w:val="001C0443"/>
    <w:rsid w:val="001C049B"/>
    <w:rsid w:val="001C0607"/>
    <w:rsid w:val="001C06BF"/>
    <w:rsid w:val="001C07E3"/>
    <w:rsid w:val="001C0A53"/>
    <w:rsid w:val="001C0AE7"/>
    <w:rsid w:val="001C0C2E"/>
    <w:rsid w:val="001C0EE3"/>
    <w:rsid w:val="001C0F90"/>
    <w:rsid w:val="001C0FAC"/>
    <w:rsid w:val="001C11C2"/>
    <w:rsid w:val="001C1375"/>
    <w:rsid w:val="001C16E9"/>
    <w:rsid w:val="001C174E"/>
    <w:rsid w:val="001C1ADC"/>
    <w:rsid w:val="001C1D16"/>
    <w:rsid w:val="001C1E26"/>
    <w:rsid w:val="001C1FCC"/>
    <w:rsid w:val="001C2080"/>
    <w:rsid w:val="001C21D5"/>
    <w:rsid w:val="001C2264"/>
    <w:rsid w:val="001C22B8"/>
    <w:rsid w:val="001C2AAF"/>
    <w:rsid w:val="001C2DBE"/>
    <w:rsid w:val="001C2EAC"/>
    <w:rsid w:val="001C2EAF"/>
    <w:rsid w:val="001C2F44"/>
    <w:rsid w:val="001C2F9A"/>
    <w:rsid w:val="001C34AC"/>
    <w:rsid w:val="001C35E3"/>
    <w:rsid w:val="001C36D8"/>
    <w:rsid w:val="001C3941"/>
    <w:rsid w:val="001C3B13"/>
    <w:rsid w:val="001C3C33"/>
    <w:rsid w:val="001C3E32"/>
    <w:rsid w:val="001C3EFF"/>
    <w:rsid w:val="001C4073"/>
    <w:rsid w:val="001C4510"/>
    <w:rsid w:val="001C46ED"/>
    <w:rsid w:val="001C484D"/>
    <w:rsid w:val="001C4B8E"/>
    <w:rsid w:val="001C4BD9"/>
    <w:rsid w:val="001C4DBC"/>
    <w:rsid w:val="001C5126"/>
    <w:rsid w:val="001C5219"/>
    <w:rsid w:val="001C5611"/>
    <w:rsid w:val="001C5743"/>
    <w:rsid w:val="001C5BC1"/>
    <w:rsid w:val="001C5CAE"/>
    <w:rsid w:val="001C5F80"/>
    <w:rsid w:val="001C5FC2"/>
    <w:rsid w:val="001C5FE5"/>
    <w:rsid w:val="001C62A3"/>
    <w:rsid w:val="001C6571"/>
    <w:rsid w:val="001C69A8"/>
    <w:rsid w:val="001C6A9A"/>
    <w:rsid w:val="001C6D5E"/>
    <w:rsid w:val="001C6E4D"/>
    <w:rsid w:val="001C6F99"/>
    <w:rsid w:val="001C73FC"/>
    <w:rsid w:val="001C7433"/>
    <w:rsid w:val="001C76F9"/>
    <w:rsid w:val="001C7842"/>
    <w:rsid w:val="001C7CE3"/>
    <w:rsid w:val="001D0236"/>
    <w:rsid w:val="001D02E4"/>
    <w:rsid w:val="001D036E"/>
    <w:rsid w:val="001D0406"/>
    <w:rsid w:val="001D05D1"/>
    <w:rsid w:val="001D07FE"/>
    <w:rsid w:val="001D0921"/>
    <w:rsid w:val="001D0BEA"/>
    <w:rsid w:val="001D0C89"/>
    <w:rsid w:val="001D0CC7"/>
    <w:rsid w:val="001D0CD6"/>
    <w:rsid w:val="001D0D5C"/>
    <w:rsid w:val="001D0DEE"/>
    <w:rsid w:val="001D100C"/>
    <w:rsid w:val="001D111B"/>
    <w:rsid w:val="001D13BD"/>
    <w:rsid w:val="001D172E"/>
    <w:rsid w:val="001D18B1"/>
    <w:rsid w:val="001D1C6E"/>
    <w:rsid w:val="001D2114"/>
    <w:rsid w:val="001D2158"/>
    <w:rsid w:val="001D2252"/>
    <w:rsid w:val="001D2720"/>
    <w:rsid w:val="001D291F"/>
    <w:rsid w:val="001D2939"/>
    <w:rsid w:val="001D2AE2"/>
    <w:rsid w:val="001D3030"/>
    <w:rsid w:val="001D30A1"/>
    <w:rsid w:val="001D3125"/>
    <w:rsid w:val="001D34DC"/>
    <w:rsid w:val="001D35BB"/>
    <w:rsid w:val="001D3749"/>
    <w:rsid w:val="001D378F"/>
    <w:rsid w:val="001D380A"/>
    <w:rsid w:val="001D3817"/>
    <w:rsid w:val="001D3A09"/>
    <w:rsid w:val="001D3A0E"/>
    <w:rsid w:val="001D3A16"/>
    <w:rsid w:val="001D3A8F"/>
    <w:rsid w:val="001D40DF"/>
    <w:rsid w:val="001D4112"/>
    <w:rsid w:val="001D441E"/>
    <w:rsid w:val="001D4672"/>
    <w:rsid w:val="001D4863"/>
    <w:rsid w:val="001D494A"/>
    <w:rsid w:val="001D4B92"/>
    <w:rsid w:val="001D4C2C"/>
    <w:rsid w:val="001D4D5A"/>
    <w:rsid w:val="001D4F2A"/>
    <w:rsid w:val="001D5489"/>
    <w:rsid w:val="001D58AC"/>
    <w:rsid w:val="001D5B25"/>
    <w:rsid w:val="001D5B39"/>
    <w:rsid w:val="001D60E6"/>
    <w:rsid w:val="001D619B"/>
    <w:rsid w:val="001D6288"/>
    <w:rsid w:val="001D64F5"/>
    <w:rsid w:val="001D6613"/>
    <w:rsid w:val="001D70BD"/>
    <w:rsid w:val="001D74A6"/>
    <w:rsid w:val="001D7726"/>
    <w:rsid w:val="001D7766"/>
    <w:rsid w:val="001D7849"/>
    <w:rsid w:val="001D7B07"/>
    <w:rsid w:val="001D7DEB"/>
    <w:rsid w:val="001E026E"/>
    <w:rsid w:val="001E0346"/>
    <w:rsid w:val="001E0E07"/>
    <w:rsid w:val="001E12F0"/>
    <w:rsid w:val="001E145D"/>
    <w:rsid w:val="001E1610"/>
    <w:rsid w:val="001E1617"/>
    <w:rsid w:val="001E1650"/>
    <w:rsid w:val="001E1860"/>
    <w:rsid w:val="001E1972"/>
    <w:rsid w:val="001E1BF4"/>
    <w:rsid w:val="001E1CFB"/>
    <w:rsid w:val="001E1FAE"/>
    <w:rsid w:val="001E1FB7"/>
    <w:rsid w:val="001E1FBA"/>
    <w:rsid w:val="001E295E"/>
    <w:rsid w:val="001E2A32"/>
    <w:rsid w:val="001E2E4E"/>
    <w:rsid w:val="001E32EA"/>
    <w:rsid w:val="001E3522"/>
    <w:rsid w:val="001E3539"/>
    <w:rsid w:val="001E361F"/>
    <w:rsid w:val="001E362C"/>
    <w:rsid w:val="001E3648"/>
    <w:rsid w:val="001E3995"/>
    <w:rsid w:val="001E41E3"/>
    <w:rsid w:val="001E42DB"/>
    <w:rsid w:val="001E4B04"/>
    <w:rsid w:val="001E4E87"/>
    <w:rsid w:val="001E50D3"/>
    <w:rsid w:val="001E50F7"/>
    <w:rsid w:val="001E5260"/>
    <w:rsid w:val="001E5741"/>
    <w:rsid w:val="001E5871"/>
    <w:rsid w:val="001E58F5"/>
    <w:rsid w:val="001E5E9F"/>
    <w:rsid w:val="001E5FB2"/>
    <w:rsid w:val="001E5FEE"/>
    <w:rsid w:val="001E6669"/>
    <w:rsid w:val="001E67BC"/>
    <w:rsid w:val="001E6D1A"/>
    <w:rsid w:val="001E728B"/>
    <w:rsid w:val="001E77AC"/>
    <w:rsid w:val="001E796A"/>
    <w:rsid w:val="001E7E86"/>
    <w:rsid w:val="001E7EB7"/>
    <w:rsid w:val="001F0210"/>
    <w:rsid w:val="001F0282"/>
    <w:rsid w:val="001F04AE"/>
    <w:rsid w:val="001F06FB"/>
    <w:rsid w:val="001F089C"/>
    <w:rsid w:val="001F0B08"/>
    <w:rsid w:val="001F0CBF"/>
    <w:rsid w:val="001F0D78"/>
    <w:rsid w:val="001F1138"/>
    <w:rsid w:val="001F13D1"/>
    <w:rsid w:val="001F168B"/>
    <w:rsid w:val="001F17A9"/>
    <w:rsid w:val="001F18FD"/>
    <w:rsid w:val="001F1942"/>
    <w:rsid w:val="001F1AAF"/>
    <w:rsid w:val="001F1ACA"/>
    <w:rsid w:val="001F1BA2"/>
    <w:rsid w:val="001F1E47"/>
    <w:rsid w:val="001F1E61"/>
    <w:rsid w:val="001F1ED7"/>
    <w:rsid w:val="001F1EE8"/>
    <w:rsid w:val="001F202C"/>
    <w:rsid w:val="001F22A3"/>
    <w:rsid w:val="001F2518"/>
    <w:rsid w:val="001F2866"/>
    <w:rsid w:val="001F2B7A"/>
    <w:rsid w:val="001F2D97"/>
    <w:rsid w:val="001F2F0F"/>
    <w:rsid w:val="001F30B3"/>
    <w:rsid w:val="001F3302"/>
    <w:rsid w:val="001F3319"/>
    <w:rsid w:val="001F34F0"/>
    <w:rsid w:val="001F396D"/>
    <w:rsid w:val="001F3B98"/>
    <w:rsid w:val="001F3C54"/>
    <w:rsid w:val="001F4146"/>
    <w:rsid w:val="001F46D6"/>
    <w:rsid w:val="001F4810"/>
    <w:rsid w:val="001F4A62"/>
    <w:rsid w:val="001F4AA9"/>
    <w:rsid w:val="001F4B9C"/>
    <w:rsid w:val="001F4BB9"/>
    <w:rsid w:val="001F4D10"/>
    <w:rsid w:val="001F4F76"/>
    <w:rsid w:val="001F4FC9"/>
    <w:rsid w:val="001F53E4"/>
    <w:rsid w:val="001F5525"/>
    <w:rsid w:val="001F596E"/>
    <w:rsid w:val="001F5A12"/>
    <w:rsid w:val="001F5A79"/>
    <w:rsid w:val="001F5AA0"/>
    <w:rsid w:val="001F5CB9"/>
    <w:rsid w:val="001F62D5"/>
    <w:rsid w:val="001F642F"/>
    <w:rsid w:val="001F643D"/>
    <w:rsid w:val="001F656C"/>
    <w:rsid w:val="001F663C"/>
    <w:rsid w:val="001F691D"/>
    <w:rsid w:val="001F69E9"/>
    <w:rsid w:val="001F6AB9"/>
    <w:rsid w:val="001F6AC0"/>
    <w:rsid w:val="001F7058"/>
    <w:rsid w:val="001F7203"/>
    <w:rsid w:val="001F7210"/>
    <w:rsid w:val="001F722E"/>
    <w:rsid w:val="001F73A9"/>
    <w:rsid w:val="001F74C9"/>
    <w:rsid w:val="001F7624"/>
    <w:rsid w:val="001F7784"/>
    <w:rsid w:val="001F7869"/>
    <w:rsid w:val="001F7B83"/>
    <w:rsid w:val="001F7C78"/>
    <w:rsid w:val="002001F6"/>
    <w:rsid w:val="00200224"/>
    <w:rsid w:val="00200345"/>
    <w:rsid w:val="00200468"/>
    <w:rsid w:val="00200752"/>
    <w:rsid w:val="00200948"/>
    <w:rsid w:val="002009F4"/>
    <w:rsid w:val="00200BB3"/>
    <w:rsid w:val="00200D5B"/>
    <w:rsid w:val="00200F13"/>
    <w:rsid w:val="0020110E"/>
    <w:rsid w:val="0020118D"/>
    <w:rsid w:val="0020128F"/>
    <w:rsid w:val="002016F8"/>
    <w:rsid w:val="00201836"/>
    <w:rsid w:val="00201A4F"/>
    <w:rsid w:val="00201CD6"/>
    <w:rsid w:val="00202581"/>
    <w:rsid w:val="002028B2"/>
    <w:rsid w:val="00202C7E"/>
    <w:rsid w:val="00202F72"/>
    <w:rsid w:val="0020353C"/>
    <w:rsid w:val="002036B8"/>
    <w:rsid w:val="002036D9"/>
    <w:rsid w:val="002036FC"/>
    <w:rsid w:val="00203BB1"/>
    <w:rsid w:val="00203E1D"/>
    <w:rsid w:val="002040A7"/>
    <w:rsid w:val="0020458A"/>
    <w:rsid w:val="002047CD"/>
    <w:rsid w:val="00204883"/>
    <w:rsid w:val="0020499D"/>
    <w:rsid w:val="00204A3C"/>
    <w:rsid w:val="00204B52"/>
    <w:rsid w:val="00204C41"/>
    <w:rsid w:val="00204EB8"/>
    <w:rsid w:val="00205105"/>
    <w:rsid w:val="0020510F"/>
    <w:rsid w:val="002052F8"/>
    <w:rsid w:val="00205386"/>
    <w:rsid w:val="00205401"/>
    <w:rsid w:val="002054C4"/>
    <w:rsid w:val="002054F2"/>
    <w:rsid w:val="0020558F"/>
    <w:rsid w:val="002058AE"/>
    <w:rsid w:val="0020591C"/>
    <w:rsid w:val="00205B10"/>
    <w:rsid w:val="00205B3B"/>
    <w:rsid w:val="00205B95"/>
    <w:rsid w:val="00205B9A"/>
    <w:rsid w:val="00205E83"/>
    <w:rsid w:val="00206052"/>
    <w:rsid w:val="00206128"/>
    <w:rsid w:val="0020641E"/>
    <w:rsid w:val="002064B5"/>
    <w:rsid w:val="00206721"/>
    <w:rsid w:val="002067D7"/>
    <w:rsid w:val="0020693A"/>
    <w:rsid w:val="00206A54"/>
    <w:rsid w:val="00206B1B"/>
    <w:rsid w:val="00206BA7"/>
    <w:rsid w:val="00206D47"/>
    <w:rsid w:val="00206DD2"/>
    <w:rsid w:val="00206DDE"/>
    <w:rsid w:val="002070ED"/>
    <w:rsid w:val="002073B1"/>
    <w:rsid w:val="002074A2"/>
    <w:rsid w:val="00207B6E"/>
    <w:rsid w:val="00207D27"/>
    <w:rsid w:val="00210215"/>
    <w:rsid w:val="00210303"/>
    <w:rsid w:val="00210325"/>
    <w:rsid w:val="00210565"/>
    <w:rsid w:val="002105B5"/>
    <w:rsid w:val="00210C66"/>
    <w:rsid w:val="00210F02"/>
    <w:rsid w:val="00211061"/>
    <w:rsid w:val="00211179"/>
    <w:rsid w:val="002112EC"/>
    <w:rsid w:val="002116F4"/>
    <w:rsid w:val="00211708"/>
    <w:rsid w:val="00211732"/>
    <w:rsid w:val="0021193D"/>
    <w:rsid w:val="00211EAD"/>
    <w:rsid w:val="0021235B"/>
    <w:rsid w:val="002123D4"/>
    <w:rsid w:val="002124B2"/>
    <w:rsid w:val="002125E8"/>
    <w:rsid w:val="00212E84"/>
    <w:rsid w:val="00212F09"/>
    <w:rsid w:val="002131E2"/>
    <w:rsid w:val="00213782"/>
    <w:rsid w:val="002138A5"/>
    <w:rsid w:val="00213959"/>
    <w:rsid w:val="00213974"/>
    <w:rsid w:val="00213CEC"/>
    <w:rsid w:val="00214009"/>
    <w:rsid w:val="0021452E"/>
    <w:rsid w:val="0021475E"/>
    <w:rsid w:val="00214E5E"/>
    <w:rsid w:val="00214F57"/>
    <w:rsid w:val="00215078"/>
    <w:rsid w:val="002150E9"/>
    <w:rsid w:val="0021526E"/>
    <w:rsid w:val="00215377"/>
    <w:rsid w:val="00215467"/>
    <w:rsid w:val="00215732"/>
    <w:rsid w:val="0021599B"/>
    <w:rsid w:val="00215AA2"/>
    <w:rsid w:val="00215C6C"/>
    <w:rsid w:val="00215CDD"/>
    <w:rsid w:val="00215DEF"/>
    <w:rsid w:val="002161B5"/>
    <w:rsid w:val="00216588"/>
    <w:rsid w:val="0021674F"/>
    <w:rsid w:val="00216A5E"/>
    <w:rsid w:val="00216D2C"/>
    <w:rsid w:val="00217004"/>
    <w:rsid w:val="00217344"/>
    <w:rsid w:val="0021794E"/>
    <w:rsid w:val="00217A41"/>
    <w:rsid w:val="00217AC2"/>
    <w:rsid w:val="00217D98"/>
    <w:rsid w:val="002203F8"/>
    <w:rsid w:val="0022049B"/>
    <w:rsid w:val="00220751"/>
    <w:rsid w:val="002208FD"/>
    <w:rsid w:val="0022098F"/>
    <w:rsid w:val="00220A93"/>
    <w:rsid w:val="00220CA3"/>
    <w:rsid w:val="00220E2A"/>
    <w:rsid w:val="002210EF"/>
    <w:rsid w:val="0022165D"/>
    <w:rsid w:val="002216B3"/>
    <w:rsid w:val="0022188E"/>
    <w:rsid w:val="00221A7C"/>
    <w:rsid w:val="00222509"/>
    <w:rsid w:val="00222526"/>
    <w:rsid w:val="00222B43"/>
    <w:rsid w:val="00222B66"/>
    <w:rsid w:val="00222BB5"/>
    <w:rsid w:val="00222CA7"/>
    <w:rsid w:val="00222D54"/>
    <w:rsid w:val="00222DC6"/>
    <w:rsid w:val="0022325B"/>
    <w:rsid w:val="0022336E"/>
    <w:rsid w:val="002233D3"/>
    <w:rsid w:val="00223458"/>
    <w:rsid w:val="002238D7"/>
    <w:rsid w:val="0022398B"/>
    <w:rsid w:val="00223994"/>
    <w:rsid w:val="00223A12"/>
    <w:rsid w:val="00223AC4"/>
    <w:rsid w:val="00223C13"/>
    <w:rsid w:val="00223C23"/>
    <w:rsid w:val="00223DE6"/>
    <w:rsid w:val="00223FBA"/>
    <w:rsid w:val="00224079"/>
    <w:rsid w:val="0022410E"/>
    <w:rsid w:val="0022427D"/>
    <w:rsid w:val="00224353"/>
    <w:rsid w:val="0022485A"/>
    <w:rsid w:val="00224B9F"/>
    <w:rsid w:val="00224EA6"/>
    <w:rsid w:val="00224F57"/>
    <w:rsid w:val="002253AD"/>
    <w:rsid w:val="0022555E"/>
    <w:rsid w:val="002256BE"/>
    <w:rsid w:val="002259C5"/>
    <w:rsid w:val="00225A51"/>
    <w:rsid w:val="00225C0A"/>
    <w:rsid w:val="002261C3"/>
    <w:rsid w:val="00226326"/>
    <w:rsid w:val="00226375"/>
    <w:rsid w:val="00226573"/>
    <w:rsid w:val="002267BC"/>
    <w:rsid w:val="0022708F"/>
    <w:rsid w:val="002271C9"/>
    <w:rsid w:val="002272AA"/>
    <w:rsid w:val="002273D1"/>
    <w:rsid w:val="0022750C"/>
    <w:rsid w:val="00227A68"/>
    <w:rsid w:val="00227B7C"/>
    <w:rsid w:val="00227F6D"/>
    <w:rsid w:val="00227FEA"/>
    <w:rsid w:val="00230267"/>
    <w:rsid w:val="002304A7"/>
    <w:rsid w:val="0023050F"/>
    <w:rsid w:val="002305E5"/>
    <w:rsid w:val="00230C33"/>
    <w:rsid w:val="00230D44"/>
    <w:rsid w:val="00230EFE"/>
    <w:rsid w:val="00231324"/>
    <w:rsid w:val="002316F6"/>
    <w:rsid w:val="002317AD"/>
    <w:rsid w:val="002318D2"/>
    <w:rsid w:val="00231F15"/>
    <w:rsid w:val="002325D5"/>
    <w:rsid w:val="00232765"/>
    <w:rsid w:val="0023282D"/>
    <w:rsid w:val="0023297E"/>
    <w:rsid w:val="00232A1E"/>
    <w:rsid w:val="00232A4A"/>
    <w:rsid w:val="00232B2E"/>
    <w:rsid w:val="00232C23"/>
    <w:rsid w:val="00232FDE"/>
    <w:rsid w:val="00232FE8"/>
    <w:rsid w:val="002331B1"/>
    <w:rsid w:val="00233520"/>
    <w:rsid w:val="002335D5"/>
    <w:rsid w:val="0023374F"/>
    <w:rsid w:val="00233787"/>
    <w:rsid w:val="0023379A"/>
    <w:rsid w:val="002338A4"/>
    <w:rsid w:val="002338BF"/>
    <w:rsid w:val="00234047"/>
    <w:rsid w:val="0023457D"/>
    <w:rsid w:val="00234A05"/>
    <w:rsid w:val="00234C71"/>
    <w:rsid w:val="00234EDB"/>
    <w:rsid w:val="002350EE"/>
    <w:rsid w:val="00235100"/>
    <w:rsid w:val="0023547B"/>
    <w:rsid w:val="002355A1"/>
    <w:rsid w:val="0023564C"/>
    <w:rsid w:val="002357E4"/>
    <w:rsid w:val="002359AD"/>
    <w:rsid w:val="00235B50"/>
    <w:rsid w:val="00235E70"/>
    <w:rsid w:val="0023613B"/>
    <w:rsid w:val="002361FC"/>
    <w:rsid w:val="0023658F"/>
    <w:rsid w:val="00236747"/>
    <w:rsid w:val="00236975"/>
    <w:rsid w:val="00236D19"/>
    <w:rsid w:val="00236F1D"/>
    <w:rsid w:val="0023705C"/>
    <w:rsid w:val="0023758F"/>
    <w:rsid w:val="002375CB"/>
    <w:rsid w:val="002375CF"/>
    <w:rsid w:val="00237613"/>
    <w:rsid w:val="00237631"/>
    <w:rsid w:val="00237655"/>
    <w:rsid w:val="00237729"/>
    <w:rsid w:val="00237754"/>
    <w:rsid w:val="00237932"/>
    <w:rsid w:val="002401E8"/>
    <w:rsid w:val="00240244"/>
    <w:rsid w:val="00240513"/>
    <w:rsid w:val="00240632"/>
    <w:rsid w:val="00240867"/>
    <w:rsid w:val="00240A0F"/>
    <w:rsid w:val="00240B45"/>
    <w:rsid w:val="00240FB2"/>
    <w:rsid w:val="00241323"/>
    <w:rsid w:val="002413F5"/>
    <w:rsid w:val="00241A49"/>
    <w:rsid w:val="00241BA8"/>
    <w:rsid w:val="00242455"/>
    <w:rsid w:val="002424FF"/>
    <w:rsid w:val="00242620"/>
    <w:rsid w:val="002428B5"/>
    <w:rsid w:val="002429BB"/>
    <w:rsid w:val="00242B9F"/>
    <w:rsid w:val="00242F6D"/>
    <w:rsid w:val="00242FE8"/>
    <w:rsid w:val="00243218"/>
    <w:rsid w:val="00243363"/>
    <w:rsid w:val="002437C5"/>
    <w:rsid w:val="00243924"/>
    <w:rsid w:val="002439E4"/>
    <w:rsid w:val="00243E0D"/>
    <w:rsid w:val="00243E97"/>
    <w:rsid w:val="00244036"/>
    <w:rsid w:val="002445DC"/>
    <w:rsid w:val="002448ED"/>
    <w:rsid w:val="00244B4D"/>
    <w:rsid w:val="00244CB5"/>
    <w:rsid w:val="00244EDB"/>
    <w:rsid w:val="002454E9"/>
    <w:rsid w:val="0024553D"/>
    <w:rsid w:val="00245C81"/>
    <w:rsid w:val="00245FB6"/>
    <w:rsid w:val="002465A0"/>
    <w:rsid w:val="00246A9D"/>
    <w:rsid w:val="00246BB1"/>
    <w:rsid w:val="00246DFD"/>
    <w:rsid w:val="00246E51"/>
    <w:rsid w:val="00246E8D"/>
    <w:rsid w:val="00247000"/>
    <w:rsid w:val="00247071"/>
    <w:rsid w:val="0024713F"/>
    <w:rsid w:val="00247300"/>
    <w:rsid w:val="00247560"/>
    <w:rsid w:val="0024761D"/>
    <w:rsid w:val="00247844"/>
    <w:rsid w:val="00247880"/>
    <w:rsid w:val="00247AEA"/>
    <w:rsid w:val="00247C4D"/>
    <w:rsid w:val="00247F7C"/>
    <w:rsid w:val="002507A1"/>
    <w:rsid w:val="00250818"/>
    <w:rsid w:val="002508E6"/>
    <w:rsid w:val="00250BCA"/>
    <w:rsid w:val="00250D72"/>
    <w:rsid w:val="00250D9E"/>
    <w:rsid w:val="00251399"/>
    <w:rsid w:val="00251431"/>
    <w:rsid w:val="00251476"/>
    <w:rsid w:val="00251A0B"/>
    <w:rsid w:val="002522A7"/>
    <w:rsid w:val="002523FA"/>
    <w:rsid w:val="00252BE5"/>
    <w:rsid w:val="00252D5E"/>
    <w:rsid w:val="00252E84"/>
    <w:rsid w:val="00252ED2"/>
    <w:rsid w:val="00253002"/>
    <w:rsid w:val="00253251"/>
    <w:rsid w:val="00253286"/>
    <w:rsid w:val="00253289"/>
    <w:rsid w:val="002535D9"/>
    <w:rsid w:val="002537D1"/>
    <w:rsid w:val="0025387C"/>
    <w:rsid w:val="00253F30"/>
    <w:rsid w:val="002540E6"/>
    <w:rsid w:val="00254328"/>
    <w:rsid w:val="002544F3"/>
    <w:rsid w:val="00254579"/>
    <w:rsid w:val="0025499F"/>
    <w:rsid w:val="00254B48"/>
    <w:rsid w:val="00254C13"/>
    <w:rsid w:val="00254D48"/>
    <w:rsid w:val="00255110"/>
    <w:rsid w:val="00255272"/>
    <w:rsid w:val="002552E9"/>
    <w:rsid w:val="002555D8"/>
    <w:rsid w:val="002558B6"/>
    <w:rsid w:val="00255B1F"/>
    <w:rsid w:val="00255BFB"/>
    <w:rsid w:val="00255DF1"/>
    <w:rsid w:val="0025613F"/>
    <w:rsid w:val="0025614B"/>
    <w:rsid w:val="0025618B"/>
    <w:rsid w:val="002561D3"/>
    <w:rsid w:val="00256574"/>
    <w:rsid w:val="002569A4"/>
    <w:rsid w:val="002569D2"/>
    <w:rsid w:val="00256B10"/>
    <w:rsid w:val="00256B9D"/>
    <w:rsid w:val="00256BF7"/>
    <w:rsid w:val="0025716A"/>
    <w:rsid w:val="00257212"/>
    <w:rsid w:val="0025733B"/>
    <w:rsid w:val="002574B9"/>
    <w:rsid w:val="00257833"/>
    <w:rsid w:val="0025784D"/>
    <w:rsid w:val="002578EC"/>
    <w:rsid w:val="00257B60"/>
    <w:rsid w:val="00257C4C"/>
    <w:rsid w:val="00257EF4"/>
    <w:rsid w:val="00257F8B"/>
    <w:rsid w:val="002600C9"/>
    <w:rsid w:val="00260479"/>
    <w:rsid w:val="00260904"/>
    <w:rsid w:val="00260A99"/>
    <w:rsid w:val="00260C3B"/>
    <w:rsid w:val="00260D5E"/>
    <w:rsid w:val="00261282"/>
    <w:rsid w:val="002614EC"/>
    <w:rsid w:val="002615AA"/>
    <w:rsid w:val="002619E6"/>
    <w:rsid w:val="00261B2A"/>
    <w:rsid w:val="0026212C"/>
    <w:rsid w:val="002624EE"/>
    <w:rsid w:val="00262501"/>
    <w:rsid w:val="00262A6E"/>
    <w:rsid w:val="00262BFD"/>
    <w:rsid w:val="00262CDA"/>
    <w:rsid w:val="00262CF6"/>
    <w:rsid w:val="00263400"/>
    <w:rsid w:val="00263818"/>
    <w:rsid w:val="00263904"/>
    <w:rsid w:val="00263920"/>
    <w:rsid w:val="00263938"/>
    <w:rsid w:val="00263964"/>
    <w:rsid w:val="0026403B"/>
    <w:rsid w:val="0026410F"/>
    <w:rsid w:val="00264453"/>
    <w:rsid w:val="002644A1"/>
    <w:rsid w:val="0026480A"/>
    <w:rsid w:val="002648A8"/>
    <w:rsid w:val="00264A7C"/>
    <w:rsid w:val="00264AEA"/>
    <w:rsid w:val="00264CBB"/>
    <w:rsid w:val="00265337"/>
    <w:rsid w:val="002654B5"/>
    <w:rsid w:val="002654EA"/>
    <w:rsid w:val="0026586E"/>
    <w:rsid w:val="002659D3"/>
    <w:rsid w:val="002659FB"/>
    <w:rsid w:val="00265A91"/>
    <w:rsid w:val="00265AF9"/>
    <w:rsid w:val="00265FF4"/>
    <w:rsid w:val="0026611B"/>
    <w:rsid w:val="00266648"/>
    <w:rsid w:val="00266778"/>
    <w:rsid w:val="002667AB"/>
    <w:rsid w:val="00266890"/>
    <w:rsid w:val="00266E1D"/>
    <w:rsid w:val="0026703A"/>
    <w:rsid w:val="00267243"/>
    <w:rsid w:val="0026780D"/>
    <w:rsid w:val="002679B8"/>
    <w:rsid w:val="002679C0"/>
    <w:rsid w:val="002679D3"/>
    <w:rsid w:val="00267EF7"/>
    <w:rsid w:val="002701F2"/>
    <w:rsid w:val="002703D7"/>
    <w:rsid w:val="00270C03"/>
    <w:rsid w:val="00270D55"/>
    <w:rsid w:val="00270DCA"/>
    <w:rsid w:val="002711C0"/>
    <w:rsid w:val="0027127F"/>
    <w:rsid w:val="002717A8"/>
    <w:rsid w:val="00271A85"/>
    <w:rsid w:val="00271BD5"/>
    <w:rsid w:val="00271F70"/>
    <w:rsid w:val="00272159"/>
    <w:rsid w:val="002722A2"/>
    <w:rsid w:val="002723C0"/>
    <w:rsid w:val="002725EC"/>
    <w:rsid w:val="00272633"/>
    <w:rsid w:val="0027288A"/>
    <w:rsid w:val="00272B38"/>
    <w:rsid w:val="00272C3A"/>
    <w:rsid w:val="00272CE9"/>
    <w:rsid w:val="00272D44"/>
    <w:rsid w:val="00272F62"/>
    <w:rsid w:val="002730A5"/>
    <w:rsid w:val="0027338A"/>
    <w:rsid w:val="00273451"/>
    <w:rsid w:val="00273686"/>
    <w:rsid w:val="00273754"/>
    <w:rsid w:val="00273D23"/>
    <w:rsid w:val="00273F1F"/>
    <w:rsid w:val="00274081"/>
    <w:rsid w:val="002742D2"/>
    <w:rsid w:val="002744C9"/>
    <w:rsid w:val="002744D5"/>
    <w:rsid w:val="002746E4"/>
    <w:rsid w:val="00274BD1"/>
    <w:rsid w:val="00274BD4"/>
    <w:rsid w:val="00274D4B"/>
    <w:rsid w:val="00274DE5"/>
    <w:rsid w:val="00274E8C"/>
    <w:rsid w:val="0027537E"/>
    <w:rsid w:val="00275647"/>
    <w:rsid w:val="00275D73"/>
    <w:rsid w:val="00275E1B"/>
    <w:rsid w:val="002760FB"/>
    <w:rsid w:val="0027640A"/>
    <w:rsid w:val="002765C7"/>
    <w:rsid w:val="00276673"/>
    <w:rsid w:val="002766B0"/>
    <w:rsid w:val="002768B1"/>
    <w:rsid w:val="002769D2"/>
    <w:rsid w:val="00276A44"/>
    <w:rsid w:val="00276A7B"/>
    <w:rsid w:val="00276B36"/>
    <w:rsid w:val="00276F4F"/>
    <w:rsid w:val="00277109"/>
    <w:rsid w:val="0027722B"/>
    <w:rsid w:val="0028001F"/>
    <w:rsid w:val="00280071"/>
    <w:rsid w:val="002800C5"/>
    <w:rsid w:val="0028028B"/>
    <w:rsid w:val="0028073A"/>
    <w:rsid w:val="002807D4"/>
    <w:rsid w:val="0028081F"/>
    <w:rsid w:val="00280887"/>
    <w:rsid w:val="002808C9"/>
    <w:rsid w:val="00280CC9"/>
    <w:rsid w:val="00280EC4"/>
    <w:rsid w:val="00280F23"/>
    <w:rsid w:val="002810E8"/>
    <w:rsid w:val="002816F5"/>
    <w:rsid w:val="0028186A"/>
    <w:rsid w:val="00281C0F"/>
    <w:rsid w:val="00281EA7"/>
    <w:rsid w:val="00281EF3"/>
    <w:rsid w:val="002822CC"/>
    <w:rsid w:val="00282403"/>
    <w:rsid w:val="002827EB"/>
    <w:rsid w:val="0028287D"/>
    <w:rsid w:val="00282924"/>
    <w:rsid w:val="0028330D"/>
    <w:rsid w:val="00283399"/>
    <w:rsid w:val="002833A3"/>
    <w:rsid w:val="00283421"/>
    <w:rsid w:val="00283672"/>
    <w:rsid w:val="00283892"/>
    <w:rsid w:val="00283A9D"/>
    <w:rsid w:val="00283CE7"/>
    <w:rsid w:val="00283EAA"/>
    <w:rsid w:val="002840D8"/>
    <w:rsid w:val="00284110"/>
    <w:rsid w:val="00284330"/>
    <w:rsid w:val="0028459A"/>
    <w:rsid w:val="0028472E"/>
    <w:rsid w:val="00284752"/>
    <w:rsid w:val="00284BDF"/>
    <w:rsid w:val="00284C76"/>
    <w:rsid w:val="0028511D"/>
    <w:rsid w:val="00285604"/>
    <w:rsid w:val="002856E7"/>
    <w:rsid w:val="00285865"/>
    <w:rsid w:val="00285B96"/>
    <w:rsid w:val="00285E87"/>
    <w:rsid w:val="0028621B"/>
    <w:rsid w:val="002863F2"/>
    <w:rsid w:val="00286648"/>
    <w:rsid w:val="00286775"/>
    <w:rsid w:val="002868CD"/>
    <w:rsid w:val="002869B4"/>
    <w:rsid w:val="00286BB0"/>
    <w:rsid w:val="00286C32"/>
    <w:rsid w:val="00287008"/>
    <w:rsid w:val="00287183"/>
    <w:rsid w:val="002871EC"/>
    <w:rsid w:val="00287306"/>
    <w:rsid w:val="002875D6"/>
    <w:rsid w:val="002876B1"/>
    <w:rsid w:val="00287716"/>
    <w:rsid w:val="002877DC"/>
    <w:rsid w:val="002878C9"/>
    <w:rsid w:val="00287AFC"/>
    <w:rsid w:val="00287DDC"/>
    <w:rsid w:val="00287E52"/>
    <w:rsid w:val="002903D4"/>
    <w:rsid w:val="00290797"/>
    <w:rsid w:val="0029095B"/>
    <w:rsid w:val="00290A0E"/>
    <w:rsid w:val="00290C16"/>
    <w:rsid w:val="00290F06"/>
    <w:rsid w:val="00290F19"/>
    <w:rsid w:val="002912DB"/>
    <w:rsid w:val="00291580"/>
    <w:rsid w:val="002915F6"/>
    <w:rsid w:val="00291658"/>
    <w:rsid w:val="0029180D"/>
    <w:rsid w:val="00291914"/>
    <w:rsid w:val="00291929"/>
    <w:rsid w:val="00291996"/>
    <w:rsid w:val="002919B3"/>
    <w:rsid w:val="00291C01"/>
    <w:rsid w:val="0029208B"/>
    <w:rsid w:val="00292731"/>
    <w:rsid w:val="00292912"/>
    <w:rsid w:val="00292E49"/>
    <w:rsid w:val="00292F9D"/>
    <w:rsid w:val="0029308E"/>
    <w:rsid w:val="0029328F"/>
    <w:rsid w:val="00293354"/>
    <w:rsid w:val="002933CD"/>
    <w:rsid w:val="00293727"/>
    <w:rsid w:val="00293E2E"/>
    <w:rsid w:val="00293F2F"/>
    <w:rsid w:val="00293F35"/>
    <w:rsid w:val="00294352"/>
    <w:rsid w:val="00294724"/>
    <w:rsid w:val="002947F3"/>
    <w:rsid w:val="00294A7C"/>
    <w:rsid w:val="00294DA1"/>
    <w:rsid w:val="00294DA2"/>
    <w:rsid w:val="00294F34"/>
    <w:rsid w:val="00295546"/>
    <w:rsid w:val="00295773"/>
    <w:rsid w:val="0029579F"/>
    <w:rsid w:val="00295C68"/>
    <w:rsid w:val="00295FE9"/>
    <w:rsid w:val="002962FB"/>
    <w:rsid w:val="00296477"/>
    <w:rsid w:val="00296589"/>
    <w:rsid w:val="002965AC"/>
    <w:rsid w:val="002967B6"/>
    <w:rsid w:val="00296C4C"/>
    <w:rsid w:val="00296C82"/>
    <w:rsid w:val="00297329"/>
    <w:rsid w:val="002974D2"/>
    <w:rsid w:val="002975D6"/>
    <w:rsid w:val="002976AF"/>
    <w:rsid w:val="002976CF"/>
    <w:rsid w:val="00297920"/>
    <w:rsid w:val="00297BB9"/>
    <w:rsid w:val="00297C69"/>
    <w:rsid w:val="00297CD0"/>
    <w:rsid w:val="00297F2B"/>
    <w:rsid w:val="002A012E"/>
    <w:rsid w:val="002A0310"/>
    <w:rsid w:val="002A0337"/>
    <w:rsid w:val="002A04FF"/>
    <w:rsid w:val="002A050F"/>
    <w:rsid w:val="002A0530"/>
    <w:rsid w:val="002A05C8"/>
    <w:rsid w:val="002A075C"/>
    <w:rsid w:val="002A12F2"/>
    <w:rsid w:val="002A1310"/>
    <w:rsid w:val="002A160C"/>
    <w:rsid w:val="002A1D0E"/>
    <w:rsid w:val="002A1E4D"/>
    <w:rsid w:val="002A1F4D"/>
    <w:rsid w:val="002A1FFD"/>
    <w:rsid w:val="002A217C"/>
    <w:rsid w:val="002A220D"/>
    <w:rsid w:val="002A235A"/>
    <w:rsid w:val="002A2470"/>
    <w:rsid w:val="002A2660"/>
    <w:rsid w:val="002A26F5"/>
    <w:rsid w:val="002A2A73"/>
    <w:rsid w:val="002A3068"/>
    <w:rsid w:val="002A349A"/>
    <w:rsid w:val="002A38E6"/>
    <w:rsid w:val="002A3B99"/>
    <w:rsid w:val="002A40CA"/>
    <w:rsid w:val="002A4234"/>
    <w:rsid w:val="002A4641"/>
    <w:rsid w:val="002A46F2"/>
    <w:rsid w:val="002A4929"/>
    <w:rsid w:val="002A4A18"/>
    <w:rsid w:val="002A4C21"/>
    <w:rsid w:val="002A4DF8"/>
    <w:rsid w:val="002A4E32"/>
    <w:rsid w:val="002A4EB0"/>
    <w:rsid w:val="002A4ECB"/>
    <w:rsid w:val="002A50D2"/>
    <w:rsid w:val="002A52B9"/>
    <w:rsid w:val="002A580B"/>
    <w:rsid w:val="002A5D4A"/>
    <w:rsid w:val="002A5F72"/>
    <w:rsid w:val="002A626E"/>
    <w:rsid w:val="002A6441"/>
    <w:rsid w:val="002A6486"/>
    <w:rsid w:val="002A68E5"/>
    <w:rsid w:val="002A6936"/>
    <w:rsid w:val="002A6976"/>
    <w:rsid w:val="002A6A3F"/>
    <w:rsid w:val="002A6CAF"/>
    <w:rsid w:val="002A6E45"/>
    <w:rsid w:val="002A723C"/>
    <w:rsid w:val="002A7368"/>
    <w:rsid w:val="002A73BB"/>
    <w:rsid w:val="002A747D"/>
    <w:rsid w:val="002A74F5"/>
    <w:rsid w:val="002A7595"/>
    <w:rsid w:val="002A7629"/>
    <w:rsid w:val="002A7752"/>
    <w:rsid w:val="002A77B4"/>
    <w:rsid w:val="002A78E3"/>
    <w:rsid w:val="002A7D33"/>
    <w:rsid w:val="002A7F07"/>
    <w:rsid w:val="002A7F56"/>
    <w:rsid w:val="002A7FB4"/>
    <w:rsid w:val="002B01D5"/>
    <w:rsid w:val="002B0356"/>
    <w:rsid w:val="002B04E6"/>
    <w:rsid w:val="002B05A1"/>
    <w:rsid w:val="002B0775"/>
    <w:rsid w:val="002B081D"/>
    <w:rsid w:val="002B0A00"/>
    <w:rsid w:val="002B0C98"/>
    <w:rsid w:val="002B0E1A"/>
    <w:rsid w:val="002B0F39"/>
    <w:rsid w:val="002B104F"/>
    <w:rsid w:val="002B12D8"/>
    <w:rsid w:val="002B13F1"/>
    <w:rsid w:val="002B16BF"/>
    <w:rsid w:val="002B1988"/>
    <w:rsid w:val="002B1D10"/>
    <w:rsid w:val="002B1E99"/>
    <w:rsid w:val="002B1F30"/>
    <w:rsid w:val="002B1F61"/>
    <w:rsid w:val="002B24DA"/>
    <w:rsid w:val="002B27B8"/>
    <w:rsid w:val="002B2A04"/>
    <w:rsid w:val="002B305F"/>
    <w:rsid w:val="002B30CF"/>
    <w:rsid w:val="002B3429"/>
    <w:rsid w:val="002B3468"/>
    <w:rsid w:val="002B353B"/>
    <w:rsid w:val="002B3547"/>
    <w:rsid w:val="002B3661"/>
    <w:rsid w:val="002B3B0F"/>
    <w:rsid w:val="002B44EE"/>
    <w:rsid w:val="002B47B1"/>
    <w:rsid w:val="002B483A"/>
    <w:rsid w:val="002B4B27"/>
    <w:rsid w:val="002B4BF3"/>
    <w:rsid w:val="002B4E84"/>
    <w:rsid w:val="002B4F44"/>
    <w:rsid w:val="002B5127"/>
    <w:rsid w:val="002B531F"/>
    <w:rsid w:val="002B53BC"/>
    <w:rsid w:val="002B53C6"/>
    <w:rsid w:val="002B5521"/>
    <w:rsid w:val="002B5556"/>
    <w:rsid w:val="002B557F"/>
    <w:rsid w:val="002B5955"/>
    <w:rsid w:val="002B5B91"/>
    <w:rsid w:val="002B5F15"/>
    <w:rsid w:val="002B60E9"/>
    <w:rsid w:val="002B647A"/>
    <w:rsid w:val="002B673D"/>
    <w:rsid w:val="002B6837"/>
    <w:rsid w:val="002B686B"/>
    <w:rsid w:val="002B6CF5"/>
    <w:rsid w:val="002B6E37"/>
    <w:rsid w:val="002B7059"/>
    <w:rsid w:val="002B7087"/>
    <w:rsid w:val="002B737C"/>
    <w:rsid w:val="002B74F1"/>
    <w:rsid w:val="002B75E1"/>
    <w:rsid w:val="002B777B"/>
    <w:rsid w:val="002B77BA"/>
    <w:rsid w:val="002B7871"/>
    <w:rsid w:val="002B78CF"/>
    <w:rsid w:val="002B79BB"/>
    <w:rsid w:val="002C017C"/>
    <w:rsid w:val="002C01F1"/>
    <w:rsid w:val="002C02FC"/>
    <w:rsid w:val="002C0547"/>
    <w:rsid w:val="002C0BAE"/>
    <w:rsid w:val="002C0DBD"/>
    <w:rsid w:val="002C0EEF"/>
    <w:rsid w:val="002C1091"/>
    <w:rsid w:val="002C1195"/>
    <w:rsid w:val="002C17C9"/>
    <w:rsid w:val="002C189C"/>
    <w:rsid w:val="002C23DD"/>
    <w:rsid w:val="002C2D1A"/>
    <w:rsid w:val="002C2EF0"/>
    <w:rsid w:val="002C2F1B"/>
    <w:rsid w:val="002C3044"/>
    <w:rsid w:val="002C31FA"/>
    <w:rsid w:val="002C3710"/>
    <w:rsid w:val="002C373B"/>
    <w:rsid w:val="002C3A99"/>
    <w:rsid w:val="002C3C64"/>
    <w:rsid w:val="002C3EA5"/>
    <w:rsid w:val="002C3F3D"/>
    <w:rsid w:val="002C3F5F"/>
    <w:rsid w:val="002C3F6C"/>
    <w:rsid w:val="002C460A"/>
    <w:rsid w:val="002C4AA4"/>
    <w:rsid w:val="002C4B34"/>
    <w:rsid w:val="002C4C85"/>
    <w:rsid w:val="002C4E47"/>
    <w:rsid w:val="002C4E7B"/>
    <w:rsid w:val="002C4EDB"/>
    <w:rsid w:val="002C4FD5"/>
    <w:rsid w:val="002C5101"/>
    <w:rsid w:val="002C5139"/>
    <w:rsid w:val="002C53FC"/>
    <w:rsid w:val="002C541F"/>
    <w:rsid w:val="002C5494"/>
    <w:rsid w:val="002C565F"/>
    <w:rsid w:val="002C59AC"/>
    <w:rsid w:val="002C59E3"/>
    <w:rsid w:val="002C5B7B"/>
    <w:rsid w:val="002C624C"/>
    <w:rsid w:val="002C6563"/>
    <w:rsid w:val="002C65B1"/>
    <w:rsid w:val="002C6AF8"/>
    <w:rsid w:val="002C6B25"/>
    <w:rsid w:val="002C6C9D"/>
    <w:rsid w:val="002C6D5B"/>
    <w:rsid w:val="002C6FE7"/>
    <w:rsid w:val="002C7389"/>
    <w:rsid w:val="002C78B3"/>
    <w:rsid w:val="002C7C2F"/>
    <w:rsid w:val="002C7C62"/>
    <w:rsid w:val="002C7D5C"/>
    <w:rsid w:val="002D011E"/>
    <w:rsid w:val="002D024A"/>
    <w:rsid w:val="002D059D"/>
    <w:rsid w:val="002D08C7"/>
    <w:rsid w:val="002D0BBC"/>
    <w:rsid w:val="002D0D1D"/>
    <w:rsid w:val="002D0E5C"/>
    <w:rsid w:val="002D0E5F"/>
    <w:rsid w:val="002D0E84"/>
    <w:rsid w:val="002D1045"/>
    <w:rsid w:val="002D16B8"/>
    <w:rsid w:val="002D16FF"/>
    <w:rsid w:val="002D175B"/>
    <w:rsid w:val="002D1970"/>
    <w:rsid w:val="002D1972"/>
    <w:rsid w:val="002D1B6A"/>
    <w:rsid w:val="002D1D01"/>
    <w:rsid w:val="002D1D48"/>
    <w:rsid w:val="002D1DDD"/>
    <w:rsid w:val="002D217B"/>
    <w:rsid w:val="002D22DB"/>
    <w:rsid w:val="002D28B9"/>
    <w:rsid w:val="002D28BB"/>
    <w:rsid w:val="002D29D8"/>
    <w:rsid w:val="002D2C70"/>
    <w:rsid w:val="002D2C92"/>
    <w:rsid w:val="002D2E39"/>
    <w:rsid w:val="002D2E95"/>
    <w:rsid w:val="002D31D8"/>
    <w:rsid w:val="002D3650"/>
    <w:rsid w:val="002D369B"/>
    <w:rsid w:val="002D36E2"/>
    <w:rsid w:val="002D395A"/>
    <w:rsid w:val="002D3A45"/>
    <w:rsid w:val="002D3F95"/>
    <w:rsid w:val="002D455D"/>
    <w:rsid w:val="002D487E"/>
    <w:rsid w:val="002D488E"/>
    <w:rsid w:val="002D48F1"/>
    <w:rsid w:val="002D4A02"/>
    <w:rsid w:val="002D4A62"/>
    <w:rsid w:val="002D51F3"/>
    <w:rsid w:val="002D54A8"/>
    <w:rsid w:val="002D5889"/>
    <w:rsid w:val="002D59C6"/>
    <w:rsid w:val="002D5C1B"/>
    <w:rsid w:val="002D62BE"/>
    <w:rsid w:val="002D63BC"/>
    <w:rsid w:val="002D6650"/>
    <w:rsid w:val="002D68A4"/>
    <w:rsid w:val="002D6A30"/>
    <w:rsid w:val="002D6C47"/>
    <w:rsid w:val="002D70D9"/>
    <w:rsid w:val="002D7269"/>
    <w:rsid w:val="002D7402"/>
    <w:rsid w:val="002D78F2"/>
    <w:rsid w:val="002D7C4D"/>
    <w:rsid w:val="002D7EC5"/>
    <w:rsid w:val="002E0050"/>
    <w:rsid w:val="002E0201"/>
    <w:rsid w:val="002E0205"/>
    <w:rsid w:val="002E07EF"/>
    <w:rsid w:val="002E0B50"/>
    <w:rsid w:val="002E0B7F"/>
    <w:rsid w:val="002E0CB7"/>
    <w:rsid w:val="002E142B"/>
    <w:rsid w:val="002E14BE"/>
    <w:rsid w:val="002E1535"/>
    <w:rsid w:val="002E16B4"/>
    <w:rsid w:val="002E1786"/>
    <w:rsid w:val="002E18A1"/>
    <w:rsid w:val="002E18D7"/>
    <w:rsid w:val="002E18DA"/>
    <w:rsid w:val="002E1913"/>
    <w:rsid w:val="002E1C75"/>
    <w:rsid w:val="002E217B"/>
    <w:rsid w:val="002E21C8"/>
    <w:rsid w:val="002E22F4"/>
    <w:rsid w:val="002E2802"/>
    <w:rsid w:val="002E28FB"/>
    <w:rsid w:val="002E2A2A"/>
    <w:rsid w:val="002E2AE0"/>
    <w:rsid w:val="002E2C34"/>
    <w:rsid w:val="002E301A"/>
    <w:rsid w:val="002E3357"/>
    <w:rsid w:val="002E39F7"/>
    <w:rsid w:val="002E3A36"/>
    <w:rsid w:val="002E3AFC"/>
    <w:rsid w:val="002E3B6B"/>
    <w:rsid w:val="002E3BE1"/>
    <w:rsid w:val="002E3F05"/>
    <w:rsid w:val="002E4146"/>
    <w:rsid w:val="002E41B9"/>
    <w:rsid w:val="002E433D"/>
    <w:rsid w:val="002E439B"/>
    <w:rsid w:val="002E4426"/>
    <w:rsid w:val="002E446C"/>
    <w:rsid w:val="002E4870"/>
    <w:rsid w:val="002E48BF"/>
    <w:rsid w:val="002E49CB"/>
    <w:rsid w:val="002E49D9"/>
    <w:rsid w:val="002E4A57"/>
    <w:rsid w:val="002E4CB8"/>
    <w:rsid w:val="002E4E24"/>
    <w:rsid w:val="002E539E"/>
    <w:rsid w:val="002E573F"/>
    <w:rsid w:val="002E581F"/>
    <w:rsid w:val="002E5871"/>
    <w:rsid w:val="002E593B"/>
    <w:rsid w:val="002E5EAF"/>
    <w:rsid w:val="002E5EF4"/>
    <w:rsid w:val="002E60FF"/>
    <w:rsid w:val="002E6527"/>
    <w:rsid w:val="002E6587"/>
    <w:rsid w:val="002E66C1"/>
    <w:rsid w:val="002E6727"/>
    <w:rsid w:val="002E68AC"/>
    <w:rsid w:val="002E6B5F"/>
    <w:rsid w:val="002E6C4A"/>
    <w:rsid w:val="002E6CBC"/>
    <w:rsid w:val="002E7090"/>
    <w:rsid w:val="002E7403"/>
    <w:rsid w:val="002E7595"/>
    <w:rsid w:val="002E7638"/>
    <w:rsid w:val="002E799D"/>
    <w:rsid w:val="002E79B1"/>
    <w:rsid w:val="002E7B21"/>
    <w:rsid w:val="002F0231"/>
    <w:rsid w:val="002F05D6"/>
    <w:rsid w:val="002F0910"/>
    <w:rsid w:val="002F0C8F"/>
    <w:rsid w:val="002F0FA4"/>
    <w:rsid w:val="002F104A"/>
    <w:rsid w:val="002F1473"/>
    <w:rsid w:val="002F1730"/>
    <w:rsid w:val="002F1B78"/>
    <w:rsid w:val="002F20DF"/>
    <w:rsid w:val="002F21B6"/>
    <w:rsid w:val="002F23C6"/>
    <w:rsid w:val="002F2729"/>
    <w:rsid w:val="002F2926"/>
    <w:rsid w:val="002F295D"/>
    <w:rsid w:val="002F2AE3"/>
    <w:rsid w:val="002F2F0F"/>
    <w:rsid w:val="002F2F2F"/>
    <w:rsid w:val="002F3133"/>
    <w:rsid w:val="002F32C3"/>
    <w:rsid w:val="002F3452"/>
    <w:rsid w:val="002F352D"/>
    <w:rsid w:val="002F382E"/>
    <w:rsid w:val="002F3F20"/>
    <w:rsid w:val="002F3F90"/>
    <w:rsid w:val="002F4248"/>
    <w:rsid w:val="002F4273"/>
    <w:rsid w:val="002F42E0"/>
    <w:rsid w:val="002F4587"/>
    <w:rsid w:val="002F47F1"/>
    <w:rsid w:val="002F4A02"/>
    <w:rsid w:val="002F4A56"/>
    <w:rsid w:val="002F4AC7"/>
    <w:rsid w:val="002F4AE9"/>
    <w:rsid w:val="002F4B10"/>
    <w:rsid w:val="002F4B63"/>
    <w:rsid w:val="002F4DE2"/>
    <w:rsid w:val="002F4EBE"/>
    <w:rsid w:val="002F4F83"/>
    <w:rsid w:val="002F5095"/>
    <w:rsid w:val="002F50CE"/>
    <w:rsid w:val="002F529F"/>
    <w:rsid w:val="002F52B2"/>
    <w:rsid w:val="002F53DC"/>
    <w:rsid w:val="002F5409"/>
    <w:rsid w:val="002F55AC"/>
    <w:rsid w:val="002F574E"/>
    <w:rsid w:val="002F5795"/>
    <w:rsid w:val="002F591B"/>
    <w:rsid w:val="002F5E5D"/>
    <w:rsid w:val="002F600A"/>
    <w:rsid w:val="002F60B5"/>
    <w:rsid w:val="002F6542"/>
    <w:rsid w:val="002F655E"/>
    <w:rsid w:val="002F689A"/>
    <w:rsid w:val="002F6B02"/>
    <w:rsid w:val="002F6B8A"/>
    <w:rsid w:val="002F6D4A"/>
    <w:rsid w:val="002F6EFC"/>
    <w:rsid w:val="002F798D"/>
    <w:rsid w:val="002F7B31"/>
    <w:rsid w:val="002F7C55"/>
    <w:rsid w:val="002F7D22"/>
    <w:rsid w:val="002F7E58"/>
    <w:rsid w:val="002F7F7A"/>
    <w:rsid w:val="002F7FDB"/>
    <w:rsid w:val="00300088"/>
    <w:rsid w:val="003001BD"/>
    <w:rsid w:val="003002B4"/>
    <w:rsid w:val="003003DA"/>
    <w:rsid w:val="003003FB"/>
    <w:rsid w:val="00300892"/>
    <w:rsid w:val="0030098E"/>
    <w:rsid w:val="00300A0A"/>
    <w:rsid w:val="00300B29"/>
    <w:rsid w:val="00300D30"/>
    <w:rsid w:val="00300FC0"/>
    <w:rsid w:val="00301128"/>
    <w:rsid w:val="0030121A"/>
    <w:rsid w:val="003015E7"/>
    <w:rsid w:val="00301AA1"/>
    <w:rsid w:val="00301C6C"/>
    <w:rsid w:val="00301DB0"/>
    <w:rsid w:val="003020DE"/>
    <w:rsid w:val="00302323"/>
    <w:rsid w:val="0030236C"/>
    <w:rsid w:val="003023B7"/>
    <w:rsid w:val="0030250F"/>
    <w:rsid w:val="003026CD"/>
    <w:rsid w:val="00302934"/>
    <w:rsid w:val="00302C1F"/>
    <w:rsid w:val="00302DED"/>
    <w:rsid w:val="00302EFF"/>
    <w:rsid w:val="00303023"/>
    <w:rsid w:val="00303229"/>
    <w:rsid w:val="003034CD"/>
    <w:rsid w:val="00303545"/>
    <w:rsid w:val="0030390B"/>
    <w:rsid w:val="00303989"/>
    <w:rsid w:val="00303B31"/>
    <w:rsid w:val="00303B3A"/>
    <w:rsid w:val="00303FD2"/>
    <w:rsid w:val="0030431C"/>
    <w:rsid w:val="0030443F"/>
    <w:rsid w:val="00304451"/>
    <w:rsid w:val="003044DE"/>
    <w:rsid w:val="00304531"/>
    <w:rsid w:val="00304654"/>
    <w:rsid w:val="003046CD"/>
    <w:rsid w:val="003048EF"/>
    <w:rsid w:val="00304B1C"/>
    <w:rsid w:val="00304B55"/>
    <w:rsid w:val="003051ED"/>
    <w:rsid w:val="00305240"/>
    <w:rsid w:val="003059C6"/>
    <w:rsid w:val="00305A60"/>
    <w:rsid w:val="00305AD4"/>
    <w:rsid w:val="00305DE6"/>
    <w:rsid w:val="0030637E"/>
    <w:rsid w:val="003063C5"/>
    <w:rsid w:val="00306581"/>
    <w:rsid w:val="003067A1"/>
    <w:rsid w:val="0030683D"/>
    <w:rsid w:val="0030684F"/>
    <w:rsid w:val="00306900"/>
    <w:rsid w:val="00306931"/>
    <w:rsid w:val="00306CB1"/>
    <w:rsid w:val="00306CD8"/>
    <w:rsid w:val="00306D11"/>
    <w:rsid w:val="00306F01"/>
    <w:rsid w:val="00306FC3"/>
    <w:rsid w:val="003070E0"/>
    <w:rsid w:val="003072F8"/>
    <w:rsid w:val="00307325"/>
    <w:rsid w:val="003073B4"/>
    <w:rsid w:val="003077D2"/>
    <w:rsid w:val="003079FD"/>
    <w:rsid w:val="00307D29"/>
    <w:rsid w:val="00307D6C"/>
    <w:rsid w:val="00307D9A"/>
    <w:rsid w:val="00307E03"/>
    <w:rsid w:val="00307E76"/>
    <w:rsid w:val="00310033"/>
    <w:rsid w:val="00310096"/>
    <w:rsid w:val="00310121"/>
    <w:rsid w:val="00310161"/>
    <w:rsid w:val="00310214"/>
    <w:rsid w:val="00310226"/>
    <w:rsid w:val="003104B0"/>
    <w:rsid w:val="003104C5"/>
    <w:rsid w:val="0031080B"/>
    <w:rsid w:val="0031091E"/>
    <w:rsid w:val="00310B45"/>
    <w:rsid w:val="00310BD9"/>
    <w:rsid w:val="00310C6C"/>
    <w:rsid w:val="003110C2"/>
    <w:rsid w:val="003110F1"/>
    <w:rsid w:val="003113E1"/>
    <w:rsid w:val="003115D5"/>
    <w:rsid w:val="003115E3"/>
    <w:rsid w:val="003117F8"/>
    <w:rsid w:val="00311D58"/>
    <w:rsid w:val="0031213C"/>
    <w:rsid w:val="00312159"/>
    <w:rsid w:val="00312392"/>
    <w:rsid w:val="00312558"/>
    <w:rsid w:val="0031263F"/>
    <w:rsid w:val="003128D6"/>
    <w:rsid w:val="00312B04"/>
    <w:rsid w:val="0031341D"/>
    <w:rsid w:val="0031353D"/>
    <w:rsid w:val="00313636"/>
    <w:rsid w:val="00313AB0"/>
    <w:rsid w:val="00313FB4"/>
    <w:rsid w:val="003141AB"/>
    <w:rsid w:val="00314398"/>
    <w:rsid w:val="0031445B"/>
    <w:rsid w:val="0031453A"/>
    <w:rsid w:val="00314876"/>
    <w:rsid w:val="00314977"/>
    <w:rsid w:val="00314AD7"/>
    <w:rsid w:val="00314BF1"/>
    <w:rsid w:val="00314C10"/>
    <w:rsid w:val="00314EB5"/>
    <w:rsid w:val="00314EF1"/>
    <w:rsid w:val="00315145"/>
    <w:rsid w:val="00315156"/>
    <w:rsid w:val="0031517A"/>
    <w:rsid w:val="003154A5"/>
    <w:rsid w:val="00315851"/>
    <w:rsid w:val="00315853"/>
    <w:rsid w:val="00315CB3"/>
    <w:rsid w:val="00315EB5"/>
    <w:rsid w:val="0031603F"/>
    <w:rsid w:val="00316174"/>
    <w:rsid w:val="003165DD"/>
    <w:rsid w:val="00316774"/>
    <w:rsid w:val="00316A98"/>
    <w:rsid w:val="00316B6D"/>
    <w:rsid w:val="00316C38"/>
    <w:rsid w:val="00316CC6"/>
    <w:rsid w:val="00316F87"/>
    <w:rsid w:val="00317176"/>
    <w:rsid w:val="003171CB"/>
    <w:rsid w:val="00317308"/>
    <w:rsid w:val="00317418"/>
    <w:rsid w:val="00317658"/>
    <w:rsid w:val="00317840"/>
    <w:rsid w:val="0031789A"/>
    <w:rsid w:val="00317EA0"/>
    <w:rsid w:val="00320134"/>
    <w:rsid w:val="00320257"/>
    <w:rsid w:val="003205FB"/>
    <w:rsid w:val="00320732"/>
    <w:rsid w:val="0032075C"/>
    <w:rsid w:val="0032083C"/>
    <w:rsid w:val="0032085D"/>
    <w:rsid w:val="003208DA"/>
    <w:rsid w:val="00320929"/>
    <w:rsid w:val="0032112C"/>
    <w:rsid w:val="00321489"/>
    <w:rsid w:val="0032148D"/>
    <w:rsid w:val="003216C3"/>
    <w:rsid w:val="00321BDA"/>
    <w:rsid w:val="00321ED9"/>
    <w:rsid w:val="00321FBD"/>
    <w:rsid w:val="0032229B"/>
    <w:rsid w:val="00322666"/>
    <w:rsid w:val="00322837"/>
    <w:rsid w:val="00322C83"/>
    <w:rsid w:val="00322D43"/>
    <w:rsid w:val="00322FAB"/>
    <w:rsid w:val="00322FD4"/>
    <w:rsid w:val="00322FE3"/>
    <w:rsid w:val="00323339"/>
    <w:rsid w:val="00323679"/>
    <w:rsid w:val="003236A3"/>
    <w:rsid w:val="003237A6"/>
    <w:rsid w:val="0032391E"/>
    <w:rsid w:val="00323B64"/>
    <w:rsid w:val="00324069"/>
    <w:rsid w:val="00324125"/>
    <w:rsid w:val="003241A0"/>
    <w:rsid w:val="00324202"/>
    <w:rsid w:val="003242A0"/>
    <w:rsid w:val="00324305"/>
    <w:rsid w:val="003244D6"/>
    <w:rsid w:val="003246C9"/>
    <w:rsid w:val="00324781"/>
    <w:rsid w:val="00324AB4"/>
    <w:rsid w:val="00324D31"/>
    <w:rsid w:val="00324EFC"/>
    <w:rsid w:val="003250E4"/>
    <w:rsid w:val="0032522B"/>
    <w:rsid w:val="00325302"/>
    <w:rsid w:val="0032545E"/>
    <w:rsid w:val="003255D1"/>
    <w:rsid w:val="00325894"/>
    <w:rsid w:val="0032598A"/>
    <w:rsid w:val="00325AE5"/>
    <w:rsid w:val="00326008"/>
    <w:rsid w:val="003261C9"/>
    <w:rsid w:val="003261F5"/>
    <w:rsid w:val="0032635A"/>
    <w:rsid w:val="00326DF3"/>
    <w:rsid w:val="00326F72"/>
    <w:rsid w:val="0032719B"/>
    <w:rsid w:val="003274FC"/>
    <w:rsid w:val="00327682"/>
    <w:rsid w:val="0032784D"/>
    <w:rsid w:val="0032784F"/>
    <w:rsid w:val="00327AC2"/>
    <w:rsid w:val="00327B0F"/>
    <w:rsid w:val="00327C45"/>
    <w:rsid w:val="00327F5D"/>
    <w:rsid w:val="00330518"/>
    <w:rsid w:val="0033067F"/>
    <w:rsid w:val="003306BF"/>
    <w:rsid w:val="00330813"/>
    <w:rsid w:val="00330989"/>
    <w:rsid w:val="003309C0"/>
    <w:rsid w:val="00330BD7"/>
    <w:rsid w:val="00330FD5"/>
    <w:rsid w:val="00331337"/>
    <w:rsid w:val="0033146D"/>
    <w:rsid w:val="00331634"/>
    <w:rsid w:val="003316DE"/>
    <w:rsid w:val="003317F8"/>
    <w:rsid w:val="00331847"/>
    <w:rsid w:val="00331BAD"/>
    <w:rsid w:val="00331E45"/>
    <w:rsid w:val="003320AB"/>
    <w:rsid w:val="003325F7"/>
    <w:rsid w:val="00332638"/>
    <w:rsid w:val="00332668"/>
    <w:rsid w:val="00332C28"/>
    <w:rsid w:val="00332C70"/>
    <w:rsid w:val="00332CD0"/>
    <w:rsid w:val="0033305B"/>
    <w:rsid w:val="0033323A"/>
    <w:rsid w:val="003336E2"/>
    <w:rsid w:val="0033375C"/>
    <w:rsid w:val="00333A4D"/>
    <w:rsid w:val="00333BF8"/>
    <w:rsid w:val="0033400A"/>
    <w:rsid w:val="00334027"/>
    <w:rsid w:val="003341EA"/>
    <w:rsid w:val="003345F2"/>
    <w:rsid w:val="00334658"/>
    <w:rsid w:val="00334684"/>
    <w:rsid w:val="00334801"/>
    <w:rsid w:val="00335924"/>
    <w:rsid w:val="00335D48"/>
    <w:rsid w:val="00335D94"/>
    <w:rsid w:val="00335EBB"/>
    <w:rsid w:val="00335F28"/>
    <w:rsid w:val="003361E3"/>
    <w:rsid w:val="00336207"/>
    <w:rsid w:val="00336569"/>
    <w:rsid w:val="0033661D"/>
    <w:rsid w:val="00336662"/>
    <w:rsid w:val="00336669"/>
    <w:rsid w:val="003366AD"/>
    <w:rsid w:val="0033690E"/>
    <w:rsid w:val="00336AEE"/>
    <w:rsid w:val="00336B1F"/>
    <w:rsid w:val="00336ED3"/>
    <w:rsid w:val="00336FD5"/>
    <w:rsid w:val="003370FF"/>
    <w:rsid w:val="00337C73"/>
    <w:rsid w:val="00337CC2"/>
    <w:rsid w:val="00337EAD"/>
    <w:rsid w:val="00337F30"/>
    <w:rsid w:val="003402A5"/>
    <w:rsid w:val="0034033A"/>
    <w:rsid w:val="003404B7"/>
    <w:rsid w:val="00340D06"/>
    <w:rsid w:val="0034103E"/>
    <w:rsid w:val="00341256"/>
    <w:rsid w:val="003415AB"/>
    <w:rsid w:val="003418E5"/>
    <w:rsid w:val="003418E8"/>
    <w:rsid w:val="00341C54"/>
    <w:rsid w:val="00341CC3"/>
    <w:rsid w:val="00341DAE"/>
    <w:rsid w:val="00341F9F"/>
    <w:rsid w:val="0034244D"/>
    <w:rsid w:val="003424FB"/>
    <w:rsid w:val="00342581"/>
    <w:rsid w:val="00342CF4"/>
    <w:rsid w:val="00342D0B"/>
    <w:rsid w:val="00342D32"/>
    <w:rsid w:val="00342D33"/>
    <w:rsid w:val="00342E01"/>
    <w:rsid w:val="00342F18"/>
    <w:rsid w:val="00343057"/>
    <w:rsid w:val="0034317B"/>
    <w:rsid w:val="003431D4"/>
    <w:rsid w:val="00343216"/>
    <w:rsid w:val="00343367"/>
    <w:rsid w:val="0034338D"/>
    <w:rsid w:val="003435E7"/>
    <w:rsid w:val="00343896"/>
    <w:rsid w:val="00343D85"/>
    <w:rsid w:val="003442E4"/>
    <w:rsid w:val="00344404"/>
    <w:rsid w:val="00344547"/>
    <w:rsid w:val="00344552"/>
    <w:rsid w:val="00344708"/>
    <w:rsid w:val="0034473F"/>
    <w:rsid w:val="00344742"/>
    <w:rsid w:val="00344AC3"/>
    <w:rsid w:val="00344CFF"/>
    <w:rsid w:val="00344EB0"/>
    <w:rsid w:val="00344FC2"/>
    <w:rsid w:val="00345116"/>
    <w:rsid w:val="00345226"/>
    <w:rsid w:val="00345717"/>
    <w:rsid w:val="003457C3"/>
    <w:rsid w:val="00345D09"/>
    <w:rsid w:val="00346106"/>
    <w:rsid w:val="003461B1"/>
    <w:rsid w:val="0034622B"/>
    <w:rsid w:val="003466DA"/>
    <w:rsid w:val="00346842"/>
    <w:rsid w:val="00346A4B"/>
    <w:rsid w:val="00346B66"/>
    <w:rsid w:val="00346DD2"/>
    <w:rsid w:val="00346DF7"/>
    <w:rsid w:val="00346EDC"/>
    <w:rsid w:val="00347052"/>
    <w:rsid w:val="00347129"/>
    <w:rsid w:val="003472E4"/>
    <w:rsid w:val="00347373"/>
    <w:rsid w:val="003475C2"/>
    <w:rsid w:val="00347690"/>
    <w:rsid w:val="00347795"/>
    <w:rsid w:val="00347884"/>
    <w:rsid w:val="00347C0A"/>
    <w:rsid w:val="00347C19"/>
    <w:rsid w:val="00347FC3"/>
    <w:rsid w:val="00350275"/>
    <w:rsid w:val="0035059F"/>
    <w:rsid w:val="00350AB7"/>
    <w:rsid w:val="00350C77"/>
    <w:rsid w:val="003510E8"/>
    <w:rsid w:val="00351103"/>
    <w:rsid w:val="0035115C"/>
    <w:rsid w:val="00351575"/>
    <w:rsid w:val="00351689"/>
    <w:rsid w:val="003517AF"/>
    <w:rsid w:val="00351DAF"/>
    <w:rsid w:val="00351E15"/>
    <w:rsid w:val="00351F02"/>
    <w:rsid w:val="00351FF5"/>
    <w:rsid w:val="003520F2"/>
    <w:rsid w:val="0035254E"/>
    <w:rsid w:val="0035271A"/>
    <w:rsid w:val="003528F9"/>
    <w:rsid w:val="0035294F"/>
    <w:rsid w:val="003529BA"/>
    <w:rsid w:val="00352A43"/>
    <w:rsid w:val="00352ADE"/>
    <w:rsid w:val="00352F38"/>
    <w:rsid w:val="00353098"/>
    <w:rsid w:val="00353816"/>
    <w:rsid w:val="00353878"/>
    <w:rsid w:val="00353B6C"/>
    <w:rsid w:val="00354018"/>
    <w:rsid w:val="00354170"/>
    <w:rsid w:val="0035429B"/>
    <w:rsid w:val="0035431F"/>
    <w:rsid w:val="00354427"/>
    <w:rsid w:val="003546EA"/>
    <w:rsid w:val="0035475D"/>
    <w:rsid w:val="003547CD"/>
    <w:rsid w:val="0035480A"/>
    <w:rsid w:val="00354845"/>
    <w:rsid w:val="00354E72"/>
    <w:rsid w:val="00355503"/>
    <w:rsid w:val="0035566A"/>
    <w:rsid w:val="00355AA5"/>
    <w:rsid w:val="00355C0F"/>
    <w:rsid w:val="00355C2C"/>
    <w:rsid w:val="00355F99"/>
    <w:rsid w:val="003563A1"/>
    <w:rsid w:val="0035647D"/>
    <w:rsid w:val="00356840"/>
    <w:rsid w:val="00356923"/>
    <w:rsid w:val="00356B59"/>
    <w:rsid w:val="00356D67"/>
    <w:rsid w:val="00356E9F"/>
    <w:rsid w:val="003572FE"/>
    <w:rsid w:val="00357800"/>
    <w:rsid w:val="00357A81"/>
    <w:rsid w:val="00357B82"/>
    <w:rsid w:val="0036073A"/>
    <w:rsid w:val="003607F5"/>
    <w:rsid w:val="00360A89"/>
    <w:rsid w:val="00360B5D"/>
    <w:rsid w:val="00360D50"/>
    <w:rsid w:val="00360E25"/>
    <w:rsid w:val="00360FE4"/>
    <w:rsid w:val="0036115D"/>
    <w:rsid w:val="0036142E"/>
    <w:rsid w:val="003616A4"/>
    <w:rsid w:val="003618DF"/>
    <w:rsid w:val="003619C3"/>
    <w:rsid w:val="00361D3E"/>
    <w:rsid w:val="00361E5F"/>
    <w:rsid w:val="00362064"/>
    <w:rsid w:val="003620A1"/>
    <w:rsid w:val="00362152"/>
    <w:rsid w:val="00362191"/>
    <w:rsid w:val="00362653"/>
    <w:rsid w:val="00362DC2"/>
    <w:rsid w:val="00362F97"/>
    <w:rsid w:val="003631F6"/>
    <w:rsid w:val="003633A4"/>
    <w:rsid w:val="00363505"/>
    <w:rsid w:val="0036372F"/>
    <w:rsid w:val="0036373E"/>
    <w:rsid w:val="00363877"/>
    <w:rsid w:val="00363931"/>
    <w:rsid w:val="00363A76"/>
    <w:rsid w:val="00363B3D"/>
    <w:rsid w:val="003640DA"/>
    <w:rsid w:val="00364184"/>
    <w:rsid w:val="00364387"/>
    <w:rsid w:val="003643D4"/>
    <w:rsid w:val="0036466A"/>
    <w:rsid w:val="003648D8"/>
    <w:rsid w:val="00364923"/>
    <w:rsid w:val="00364A5B"/>
    <w:rsid w:val="00364C82"/>
    <w:rsid w:val="00364D5E"/>
    <w:rsid w:val="00364EF1"/>
    <w:rsid w:val="00364EFE"/>
    <w:rsid w:val="00364F98"/>
    <w:rsid w:val="003651D6"/>
    <w:rsid w:val="003652B8"/>
    <w:rsid w:val="00365472"/>
    <w:rsid w:val="00365664"/>
    <w:rsid w:val="00365789"/>
    <w:rsid w:val="00365D1F"/>
    <w:rsid w:val="00365D50"/>
    <w:rsid w:val="0036607C"/>
    <w:rsid w:val="0036620A"/>
    <w:rsid w:val="003664F2"/>
    <w:rsid w:val="003665C5"/>
    <w:rsid w:val="00366B69"/>
    <w:rsid w:val="00366F60"/>
    <w:rsid w:val="00367249"/>
    <w:rsid w:val="00367482"/>
    <w:rsid w:val="00367555"/>
    <w:rsid w:val="003677A7"/>
    <w:rsid w:val="00367AD3"/>
    <w:rsid w:val="00367D4B"/>
    <w:rsid w:val="003700BE"/>
    <w:rsid w:val="0037019B"/>
    <w:rsid w:val="003701B4"/>
    <w:rsid w:val="00370584"/>
    <w:rsid w:val="0037071B"/>
    <w:rsid w:val="003707C9"/>
    <w:rsid w:val="003707ED"/>
    <w:rsid w:val="00370994"/>
    <w:rsid w:val="00370A6E"/>
    <w:rsid w:val="00370ACC"/>
    <w:rsid w:val="00371347"/>
    <w:rsid w:val="00371573"/>
    <w:rsid w:val="00371632"/>
    <w:rsid w:val="00371668"/>
    <w:rsid w:val="00371C78"/>
    <w:rsid w:val="00371C8A"/>
    <w:rsid w:val="003720B7"/>
    <w:rsid w:val="003722CA"/>
    <w:rsid w:val="003722D3"/>
    <w:rsid w:val="0037231C"/>
    <w:rsid w:val="003723E9"/>
    <w:rsid w:val="00372414"/>
    <w:rsid w:val="003724DF"/>
    <w:rsid w:val="003724E6"/>
    <w:rsid w:val="00372519"/>
    <w:rsid w:val="003726E3"/>
    <w:rsid w:val="0037293B"/>
    <w:rsid w:val="00372975"/>
    <w:rsid w:val="00372DF8"/>
    <w:rsid w:val="00372EFD"/>
    <w:rsid w:val="00372F4F"/>
    <w:rsid w:val="00373029"/>
    <w:rsid w:val="00373052"/>
    <w:rsid w:val="00373267"/>
    <w:rsid w:val="003738C5"/>
    <w:rsid w:val="00373A1D"/>
    <w:rsid w:val="00374057"/>
    <w:rsid w:val="00374068"/>
    <w:rsid w:val="00374145"/>
    <w:rsid w:val="003743C4"/>
    <w:rsid w:val="0037473B"/>
    <w:rsid w:val="003747BE"/>
    <w:rsid w:val="00374B6E"/>
    <w:rsid w:val="00374E3A"/>
    <w:rsid w:val="0037506B"/>
    <w:rsid w:val="003751A1"/>
    <w:rsid w:val="003751FE"/>
    <w:rsid w:val="0037542D"/>
    <w:rsid w:val="00375B35"/>
    <w:rsid w:val="00375DFA"/>
    <w:rsid w:val="00375E9B"/>
    <w:rsid w:val="003760D9"/>
    <w:rsid w:val="0037630A"/>
    <w:rsid w:val="00376599"/>
    <w:rsid w:val="00376783"/>
    <w:rsid w:val="00376839"/>
    <w:rsid w:val="00376AE2"/>
    <w:rsid w:val="00376DC2"/>
    <w:rsid w:val="00377050"/>
    <w:rsid w:val="00377414"/>
    <w:rsid w:val="0037776B"/>
    <w:rsid w:val="00377AA2"/>
    <w:rsid w:val="00377ACC"/>
    <w:rsid w:val="00377BAA"/>
    <w:rsid w:val="00377D3F"/>
    <w:rsid w:val="00377D6B"/>
    <w:rsid w:val="00377F08"/>
    <w:rsid w:val="00377F0E"/>
    <w:rsid w:val="00380022"/>
    <w:rsid w:val="0038043F"/>
    <w:rsid w:val="0038049F"/>
    <w:rsid w:val="00380FDD"/>
    <w:rsid w:val="00381064"/>
    <w:rsid w:val="0038144F"/>
    <w:rsid w:val="00381760"/>
    <w:rsid w:val="00381E0B"/>
    <w:rsid w:val="00381F54"/>
    <w:rsid w:val="003820A4"/>
    <w:rsid w:val="0038224D"/>
    <w:rsid w:val="003822F4"/>
    <w:rsid w:val="0038256F"/>
    <w:rsid w:val="00382A11"/>
    <w:rsid w:val="00382A5E"/>
    <w:rsid w:val="00382AF5"/>
    <w:rsid w:val="00382D1C"/>
    <w:rsid w:val="00382D87"/>
    <w:rsid w:val="00382E92"/>
    <w:rsid w:val="00382EBA"/>
    <w:rsid w:val="00382F62"/>
    <w:rsid w:val="0038309D"/>
    <w:rsid w:val="003832B4"/>
    <w:rsid w:val="003834CC"/>
    <w:rsid w:val="00383541"/>
    <w:rsid w:val="0038387E"/>
    <w:rsid w:val="0038399A"/>
    <w:rsid w:val="00383A60"/>
    <w:rsid w:val="00383BFE"/>
    <w:rsid w:val="00383DE7"/>
    <w:rsid w:val="00383FBE"/>
    <w:rsid w:val="00384120"/>
    <w:rsid w:val="00384A8B"/>
    <w:rsid w:val="00384BF2"/>
    <w:rsid w:val="0038500C"/>
    <w:rsid w:val="0038511D"/>
    <w:rsid w:val="003851E9"/>
    <w:rsid w:val="00385558"/>
    <w:rsid w:val="003855C3"/>
    <w:rsid w:val="00385B72"/>
    <w:rsid w:val="00385B8D"/>
    <w:rsid w:val="00386008"/>
    <w:rsid w:val="0038618B"/>
    <w:rsid w:val="003862BE"/>
    <w:rsid w:val="0038652B"/>
    <w:rsid w:val="00386A33"/>
    <w:rsid w:val="00386AE3"/>
    <w:rsid w:val="00386CF1"/>
    <w:rsid w:val="00386DCC"/>
    <w:rsid w:val="00386F20"/>
    <w:rsid w:val="00386FF1"/>
    <w:rsid w:val="003871F8"/>
    <w:rsid w:val="003872C6"/>
    <w:rsid w:val="003874D5"/>
    <w:rsid w:val="003875A5"/>
    <w:rsid w:val="0038784C"/>
    <w:rsid w:val="003879D9"/>
    <w:rsid w:val="00387A00"/>
    <w:rsid w:val="00387D4B"/>
    <w:rsid w:val="00387E16"/>
    <w:rsid w:val="00387EC9"/>
    <w:rsid w:val="0039005F"/>
    <w:rsid w:val="00390387"/>
    <w:rsid w:val="00390563"/>
    <w:rsid w:val="0039066C"/>
    <w:rsid w:val="0039081D"/>
    <w:rsid w:val="00390BDB"/>
    <w:rsid w:val="00390C56"/>
    <w:rsid w:val="0039144D"/>
    <w:rsid w:val="00391C62"/>
    <w:rsid w:val="00391D96"/>
    <w:rsid w:val="00391FEA"/>
    <w:rsid w:val="00392479"/>
    <w:rsid w:val="003927D7"/>
    <w:rsid w:val="003927D8"/>
    <w:rsid w:val="003928ED"/>
    <w:rsid w:val="0039291F"/>
    <w:rsid w:val="003929C2"/>
    <w:rsid w:val="003929F7"/>
    <w:rsid w:val="00392D6F"/>
    <w:rsid w:val="00392E1E"/>
    <w:rsid w:val="003930C9"/>
    <w:rsid w:val="00393266"/>
    <w:rsid w:val="003932DF"/>
    <w:rsid w:val="003933C4"/>
    <w:rsid w:val="003933E4"/>
    <w:rsid w:val="003936FC"/>
    <w:rsid w:val="003937A4"/>
    <w:rsid w:val="00393819"/>
    <w:rsid w:val="003938CE"/>
    <w:rsid w:val="003939A0"/>
    <w:rsid w:val="00393B56"/>
    <w:rsid w:val="00393BFF"/>
    <w:rsid w:val="00394428"/>
    <w:rsid w:val="00394773"/>
    <w:rsid w:val="00394792"/>
    <w:rsid w:val="00394C05"/>
    <w:rsid w:val="00394CA9"/>
    <w:rsid w:val="00394FC3"/>
    <w:rsid w:val="003953F2"/>
    <w:rsid w:val="003954EF"/>
    <w:rsid w:val="003957F4"/>
    <w:rsid w:val="003959EE"/>
    <w:rsid w:val="00395A8B"/>
    <w:rsid w:val="00395C00"/>
    <w:rsid w:val="00395D29"/>
    <w:rsid w:val="00395D5E"/>
    <w:rsid w:val="00395E50"/>
    <w:rsid w:val="00395FD4"/>
    <w:rsid w:val="00396369"/>
    <w:rsid w:val="003965D9"/>
    <w:rsid w:val="0039671C"/>
    <w:rsid w:val="00396A83"/>
    <w:rsid w:val="00396D81"/>
    <w:rsid w:val="00396F4E"/>
    <w:rsid w:val="0039729A"/>
    <w:rsid w:val="0039730D"/>
    <w:rsid w:val="003974A9"/>
    <w:rsid w:val="00397666"/>
    <w:rsid w:val="003976D8"/>
    <w:rsid w:val="00397982"/>
    <w:rsid w:val="00397DB4"/>
    <w:rsid w:val="00397E6D"/>
    <w:rsid w:val="003A0101"/>
    <w:rsid w:val="003A0220"/>
    <w:rsid w:val="003A0243"/>
    <w:rsid w:val="003A05E5"/>
    <w:rsid w:val="003A0680"/>
    <w:rsid w:val="003A0D8F"/>
    <w:rsid w:val="003A0EEB"/>
    <w:rsid w:val="003A0FB6"/>
    <w:rsid w:val="003A111B"/>
    <w:rsid w:val="003A162D"/>
    <w:rsid w:val="003A1954"/>
    <w:rsid w:val="003A19B2"/>
    <w:rsid w:val="003A1D3D"/>
    <w:rsid w:val="003A1DC1"/>
    <w:rsid w:val="003A1E58"/>
    <w:rsid w:val="003A1F82"/>
    <w:rsid w:val="003A217A"/>
    <w:rsid w:val="003A2293"/>
    <w:rsid w:val="003A2444"/>
    <w:rsid w:val="003A2887"/>
    <w:rsid w:val="003A291A"/>
    <w:rsid w:val="003A2ADF"/>
    <w:rsid w:val="003A2DBA"/>
    <w:rsid w:val="003A2E3B"/>
    <w:rsid w:val="003A3199"/>
    <w:rsid w:val="003A319E"/>
    <w:rsid w:val="003A31DF"/>
    <w:rsid w:val="003A32C6"/>
    <w:rsid w:val="003A346B"/>
    <w:rsid w:val="003A3691"/>
    <w:rsid w:val="003A36C8"/>
    <w:rsid w:val="003A36D7"/>
    <w:rsid w:val="003A37E8"/>
    <w:rsid w:val="003A3A9B"/>
    <w:rsid w:val="003A40C9"/>
    <w:rsid w:val="003A44E7"/>
    <w:rsid w:val="003A46DC"/>
    <w:rsid w:val="003A4AB8"/>
    <w:rsid w:val="003A4E0F"/>
    <w:rsid w:val="003A4E1D"/>
    <w:rsid w:val="003A5067"/>
    <w:rsid w:val="003A54C8"/>
    <w:rsid w:val="003A56C1"/>
    <w:rsid w:val="003A5711"/>
    <w:rsid w:val="003A5B63"/>
    <w:rsid w:val="003A5B93"/>
    <w:rsid w:val="003A5C2C"/>
    <w:rsid w:val="003A5D66"/>
    <w:rsid w:val="003A5DA1"/>
    <w:rsid w:val="003A5DEF"/>
    <w:rsid w:val="003A5E8B"/>
    <w:rsid w:val="003A5EC3"/>
    <w:rsid w:val="003A6137"/>
    <w:rsid w:val="003A693C"/>
    <w:rsid w:val="003A6964"/>
    <w:rsid w:val="003A6968"/>
    <w:rsid w:val="003A69EA"/>
    <w:rsid w:val="003A6A3C"/>
    <w:rsid w:val="003A6A5D"/>
    <w:rsid w:val="003A7091"/>
    <w:rsid w:val="003A7170"/>
    <w:rsid w:val="003A71A7"/>
    <w:rsid w:val="003A73FB"/>
    <w:rsid w:val="003A742E"/>
    <w:rsid w:val="003A74C9"/>
    <w:rsid w:val="003A75E3"/>
    <w:rsid w:val="003A7713"/>
    <w:rsid w:val="003A79F9"/>
    <w:rsid w:val="003A79FE"/>
    <w:rsid w:val="003A7C68"/>
    <w:rsid w:val="003A7CF7"/>
    <w:rsid w:val="003A7FA3"/>
    <w:rsid w:val="003B0179"/>
    <w:rsid w:val="003B0462"/>
    <w:rsid w:val="003B0ED3"/>
    <w:rsid w:val="003B124C"/>
    <w:rsid w:val="003B14FA"/>
    <w:rsid w:val="003B16CA"/>
    <w:rsid w:val="003B18BC"/>
    <w:rsid w:val="003B2188"/>
    <w:rsid w:val="003B26EA"/>
    <w:rsid w:val="003B281E"/>
    <w:rsid w:val="003B283C"/>
    <w:rsid w:val="003B2E10"/>
    <w:rsid w:val="003B2F2C"/>
    <w:rsid w:val="003B318A"/>
    <w:rsid w:val="003B3569"/>
    <w:rsid w:val="003B357B"/>
    <w:rsid w:val="003B377A"/>
    <w:rsid w:val="003B38CB"/>
    <w:rsid w:val="003B39F0"/>
    <w:rsid w:val="003B3AAA"/>
    <w:rsid w:val="003B3B08"/>
    <w:rsid w:val="003B3B24"/>
    <w:rsid w:val="003B3C62"/>
    <w:rsid w:val="003B3F6B"/>
    <w:rsid w:val="003B40FF"/>
    <w:rsid w:val="003B4203"/>
    <w:rsid w:val="003B4322"/>
    <w:rsid w:val="003B48D7"/>
    <w:rsid w:val="003B4DCB"/>
    <w:rsid w:val="003B4E99"/>
    <w:rsid w:val="003B53E3"/>
    <w:rsid w:val="003B55BE"/>
    <w:rsid w:val="003B58E6"/>
    <w:rsid w:val="003B593A"/>
    <w:rsid w:val="003B5B1B"/>
    <w:rsid w:val="003B5B58"/>
    <w:rsid w:val="003B6170"/>
    <w:rsid w:val="003B6264"/>
    <w:rsid w:val="003B65F5"/>
    <w:rsid w:val="003B6783"/>
    <w:rsid w:val="003B6B1B"/>
    <w:rsid w:val="003B6DA2"/>
    <w:rsid w:val="003B6DA4"/>
    <w:rsid w:val="003B6DEE"/>
    <w:rsid w:val="003B718B"/>
    <w:rsid w:val="003B74C3"/>
    <w:rsid w:val="003B76F4"/>
    <w:rsid w:val="003B77AC"/>
    <w:rsid w:val="003B788D"/>
    <w:rsid w:val="003B78D2"/>
    <w:rsid w:val="003B7F63"/>
    <w:rsid w:val="003C0010"/>
    <w:rsid w:val="003C0017"/>
    <w:rsid w:val="003C005E"/>
    <w:rsid w:val="003C03B5"/>
    <w:rsid w:val="003C06C7"/>
    <w:rsid w:val="003C0AF9"/>
    <w:rsid w:val="003C0D98"/>
    <w:rsid w:val="003C10F1"/>
    <w:rsid w:val="003C10F6"/>
    <w:rsid w:val="003C12F3"/>
    <w:rsid w:val="003C15A3"/>
    <w:rsid w:val="003C15B3"/>
    <w:rsid w:val="003C15DB"/>
    <w:rsid w:val="003C1B5A"/>
    <w:rsid w:val="003C1D70"/>
    <w:rsid w:val="003C1E44"/>
    <w:rsid w:val="003C1FDE"/>
    <w:rsid w:val="003C232D"/>
    <w:rsid w:val="003C2464"/>
    <w:rsid w:val="003C271D"/>
    <w:rsid w:val="003C29F3"/>
    <w:rsid w:val="003C2DD9"/>
    <w:rsid w:val="003C2FBA"/>
    <w:rsid w:val="003C30C2"/>
    <w:rsid w:val="003C3A40"/>
    <w:rsid w:val="003C4315"/>
    <w:rsid w:val="003C45C6"/>
    <w:rsid w:val="003C4923"/>
    <w:rsid w:val="003C4BEB"/>
    <w:rsid w:val="003C4F9F"/>
    <w:rsid w:val="003C508D"/>
    <w:rsid w:val="003C508F"/>
    <w:rsid w:val="003C5103"/>
    <w:rsid w:val="003C5398"/>
    <w:rsid w:val="003C53A6"/>
    <w:rsid w:val="003C5427"/>
    <w:rsid w:val="003C548A"/>
    <w:rsid w:val="003C56A2"/>
    <w:rsid w:val="003C57B1"/>
    <w:rsid w:val="003C5944"/>
    <w:rsid w:val="003C59F9"/>
    <w:rsid w:val="003C5AF7"/>
    <w:rsid w:val="003C5D31"/>
    <w:rsid w:val="003C5D6E"/>
    <w:rsid w:val="003C606B"/>
    <w:rsid w:val="003C61CE"/>
    <w:rsid w:val="003C6250"/>
    <w:rsid w:val="003C6CBF"/>
    <w:rsid w:val="003C6E53"/>
    <w:rsid w:val="003C6F4D"/>
    <w:rsid w:val="003C7018"/>
    <w:rsid w:val="003C7127"/>
    <w:rsid w:val="003C71E0"/>
    <w:rsid w:val="003C7321"/>
    <w:rsid w:val="003C7356"/>
    <w:rsid w:val="003C7413"/>
    <w:rsid w:val="003C79C1"/>
    <w:rsid w:val="003D000C"/>
    <w:rsid w:val="003D028A"/>
    <w:rsid w:val="003D0343"/>
    <w:rsid w:val="003D06AB"/>
    <w:rsid w:val="003D08EF"/>
    <w:rsid w:val="003D09B6"/>
    <w:rsid w:val="003D0D44"/>
    <w:rsid w:val="003D11A7"/>
    <w:rsid w:val="003D13B9"/>
    <w:rsid w:val="003D13E8"/>
    <w:rsid w:val="003D14AE"/>
    <w:rsid w:val="003D18BC"/>
    <w:rsid w:val="003D18DD"/>
    <w:rsid w:val="003D195E"/>
    <w:rsid w:val="003D198E"/>
    <w:rsid w:val="003D1BC2"/>
    <w:rsid w:val="003D1E5B"/>
    <w:rsid w:val="003D2411"/>
    <w:rsid w:val="003D257A"/>
    <w:rsid w:val="003D2C9E"/>
    <w:rsid w:val="003D2E14"/>
    <w:rsid w:val="003D2E85"/>
    <w:rsid w:val="003D3093"/>
    <w:rsid w:val="003D32A6"/>
    <w:rsid w:val="003D337B"/>
    <w:rsid w:val="003D33A6"/>
    <w:rsid w:val="003D369F"/>
    <w:rsid w:val="003D3A49"/>
    <w:rsid w:val="003D3A64"/>
    <w:rsid w:val="003D3AF6"/>
    <w:rsid w:val="003D3FBD"/>
    <w:rsid w:val="003D40FD"/>
    <w:rsid w:val="003D44E4"/>
    <w:rsid w:val="003D481B"/>
    <w:rsid w:val="003D48F6"/>
    <w:rsid w:val="003D4958"/>
    <w:rsid w:val="003D4BD8"/>
    <w:rsid w:val="003D506F"/>
    <w:rsid w:val="003D569E"/>
    <w:rsid w:val="003D5730"/>
    <w:rsid w:val="003D58BB"/>
    <w:rsid w:val="003D59A6"/>
    <w:rsid w:val="003D59DE"/>
    <w:rsid w:val="003D5A89"/>
    <w:rsid w:val="003D5C4A"/>
    <w:rsid w:val="003D64AC"/>
    <w:rsid w:val="003D64AD"/>
    <w:rsid w:val="003D64BE"/>
    <w:rsid w:val="003D659E"/>
    <w:rsid w:val="003D68A9"/>
    <w:rsid w:val="003D6960"/>
    <w:rsid w:val="003D6DCD"/>
    <w:rsid w:val="003D7827"/>
    <w:rsid w:val="003D7AEE"/>
    <w:rsid w:val="003D7D2B"/>
    <w:rsid w:val="003D7D84"/>
    <w:rsid w:val="003D7F20"/>
    <w:rsid w:val="003D7F21"/>
    <w:rsid w:val="003E0297"/>
    <w:rsid w:val="003E0366"/>
    <w:rsid w:val="003E07ED"/>
    <w:rsid w:val="003E0896"/>
    <w:rsid w:val="003E0DE5"/>
    <w:rsid w:val="003E0EA8"/>
    <w:rsid w:val="003E115B"/>
    <w:rsid w:val="003E1887"/>
    <w:rsid w:val="003E18DD"/>
    <w:rsid w:val="003E1C23"/>
    <w:rsid w:val="003E1CB8"/>
    <w:rsid w:val="003E1DE2"/>
    <w:rsid w:val="003E21DD"/>
    <w:rsid w:val="003E244B"/>
    <w:rsid w:val="003E24D9"/>
    <w:rsid w:val="003E2B43"/>
    <w:rsid w:val="003E2BEA"/>
    <w:rsid w:val="003E2E29"/>
    <w:rsid w:val="003E37D5"/>
    <w:rsid w:val="003E3A88"/>
    <w:rsid w:val="003E3D0E"/>
    <w:rsid w:val="003E40E0"/>
    <w:rsid w:val="003E4141"/>
    <w:rsid w:val="003E42E1"/>
    <w:rsid w:val="003E442E"/>
    <w:rsid w:val="003E458F"/>
    <w:rsid w:val="003E4B8F"/>
    <w:rsid w:val="003E4C65"/>
    <w:rsid w:val="003E4CA1"/>
    <w:rsid w:val="003E4DEC"/>
    <w:rsid w:val="003E4ED2"/>
    <w:rsid w:val="003E5053"/>
    <w:rsid w:val="003E5122"/>
    <w:rsid w:val="003E5214"/>
    <w:rsid w:val="003E5232"/>
    <w:rsid w:val="003E5307"/>
    <w:rsid w:val="003E55A4"/>
    <w:rsid w:val="003E55D5"/>
    <w:rsid w:val="003E581E"/>
    <w:rsid w:val="003E5D2A"/>
    <w:rsid w:val="003E6007"/>
    <w:rsid w:val="003E60C8"/>
    <w:rsid w:val="003E6483"/>
    <w:rsid w:val="003E6693"/>
    <w:rsid w:val="003E6780"/>
    <w:rsid w:val="003E6808"/>
    <w:rsid w:val="003E6A2E"/>
    <w:rsid w:val="003E6B92"/>
    <w:rsid w:val="003E6BC9"/>
    <w:rsid w:val="003E70F1"/>
    <w:rsid w:val="003E7262"/>
    <w:rsid w:val="003E7292"/>
    <w:rsid w:val="003E74E0"/>
    <w:rsid w:val="003E74F3"/>
    <w:rsid w:val="003E766D"/>
    <w:rsid w:val="003E77B4"/>
    <w:rsid w:val="003E7B28"/>
    <w:rsid w:val="003F015D"/>
    <w:rsid w:val="003F06D2"/>
    <w:rsid w:val="003F0B04"/>
    <w:rsid w:val="003F0CC7"/>
    <w:rsid w:val="003F11AD"/>
    <w:rsid w:val="003F17EA"/>
    <w:rsid w:val="003F1828"/>
    <w:rsid w:val="003F1859"/>
    <w:rsid w:val="003F1B51"/>
    <w:rsid w:val="003F1C54"/>
    <w:rsid w:val="003F1F27"/>
    <w:rsid w:val="003F2146"/>
    <w:rsid w:val="003F22E4"/>
    <w:rsid w:val="003F23E0"/>
    <w:rsid w:val="003F2841"/>
    <w:rsid w:val="003F2B83"/>
    <w:rsid w:val="003F2BB6"/>
    <w:rsid w:val="003F2C32"/>
    <w:rsid w:val="003F2CA1"/>
    <w:rsid w:val="003F2CB0"/>
    <w:rsid w:val="003F2CD5"/>
    <w:rsid w:val="003F2D8B"/>
    <w:rsid w:val="003F2E60"/>
    <w:rsid w:val="003F34B7"/>
    <w:rsid w:val="003F392C"/>
    <w:rsid w:val="003F3CCA"/>
    <w:rsid w:val="003F47A5"/>
    <w:rsid w:val="003F4CD4"/>
    <w:rsid w:val="003F5667"/>
    <w:rsid w:val="003F56EF"/>
    <w:rsid w:val="003F5996"/>
    <w:rsid w:val="003F5AAA"/>
    <w:rsid w:val="003F5BE2"/>
    <w:rsid w:val="003F5DBA"/>
    <w:rsid w:val="003F6053"/>
    <w:rsid w:val="003F60B4"/>
    <w:rsid w:val="003F60C3"/>
    <w:rsid w:val="003F615E"/>
    <w:rsid w:val="003F6345"/>
    <w:rsid w:val="003F64B9"/>
    <w:rsid w:val="003F6552"/>
    <w:rsid w:val="003F675A"/>
    <w:rsid w:val="003F6E67"/>
    <w:rsid w:val="003F752B"/>
    <w:rsid w:val="003F7845"/>
    <w:rsid w:val="003F7A72"/>
    <w:rsid w:val="003F7BD7"/>
    <w:rsid w:val="003F7BFF"/>
    <w:rsid w:val="003F7C4E"/>
    <w:rsid w:val="003F7CC2"/>
    <w:rsid w:val="003F7D95"/>
    <w:rsid w:val="004002D1"/>
    <w:rsid w:val="0040032D"/>
    <w:rsid w:val="0040074E"/>
    <w:rsid w:val="00400A78"/>
    <w:rsid w:val="00400BDD"/>
    <w:rsid w:val="00400D9E"/>
    <w:rsid w:val="00400E82"/>
    <w:rsid w:val="00400F12"/>
    <w:rsid w:val="00401179"/>
    <w:rsid w:val="00401222"/>
    <w:rsid w:val="004013AF"/>
    <w:rsid w:val="004013B4"/>
    <w:rsid w:val="00401697"/>
    <w:rsid w:val="00401F14"/>
    <w:rsid w:val="00402083"/>
    <w:rsid w:val="00402301"/>
    <w:rsid w:val="00402462"/>
    <w:rsid w:val="004029A6"/>
    <w:rsid w:val="00402CEA"/>
    <w:rsid w:val="00402D65"/>
    <w:rsid w:val="00402E65"/>
    <w:rsid w:val="0040316F"/>
    <w:rsid w:val="0040326D"/>
    <w:rsid w:val="00403900"/>
    <w:rsid w:val="0040431E"/>
    <w:rsid w:val="00404487"/>
    <w:rsid w:val="00404585"/>
    <w:rsid w:val="0040474D"/>
    <w:rsid w:val="00404A6C"/>
    <w:rsid w:val="00404BDB"/>
    <w:rsid w:val="00404C36"/>
    <w:rsid w:val="00404D6E"/>
    <w:rsid w:val="00404DB1"/>
    <w:rsid w:val="00404E4B"/>
    <w:rsid w:val="00404EDC"/>
    <w:rsid w:val="0040528C"/>
    <w:rsid w:val="00405942"/>
    <w:rsid w:val="00405C38"/>
    <w:rsid w:val="00405C8F"/>
    <w:rsid w:val="00405E35"/>
    <w:rsid w:val="00405EFE"/>
    <w:rsid w:val="004063E9"/>
    <w:rsid w:val="00406B6D"/>
    <w:rsid w:val="00406E35"/>
    <w:rsid w:val="004076B6"/>
    <w:rsid w:val="00407A0B"/>
    <w:rsid w:val="00407B8B"/>
    <w:rsid w:val="00407D1D"/>
    <w:rsid w:val="00410099"/>
    <w:rsid w:val="004103A4"/>
    <w:rsid w:val="004109CE"/>
    <w:rsid w:val="00410A53"/>
    <w:rsid w:val="00410C6C"/>
    <w:rsid w:val="00410DA2"/>
    <w:rsid w:val="00410E28"/>
    <w:rsid w:val="0041100B"/>
    <w:rsid w:val="00411080"/>
    <w:rsid w:val="004113A8"/>
    <w:rsid w:val="0041144F"/>
    <w:rsid w:val="00411457"/>
    <w:rsid w:val="0041146B"/>
    <w:rsid w:val="00411685"/>
    <w:rsid w:val="00411915"/>
    <w:rsid w:val="00411B30"/>
    <w:rsid w:val="00411C13"/>
    <w:rsid w:val="00411CFB"/>
    <w:rsid w:val="00412016"/>
    <w:rsid w:val="00412080"/>
    <w:rsid w:val="004120B2"/>
    <w:rsid w:val="0041245E"/>
    <w:rsid w:val="004124FA"/>
    <w:rsid w:val="0041255D"/>
    <w:rsid w:val="00412570"/>
    <w:rsid w:val="00412D07"/>
    <w:rsid w:val="00412F96"/>
    <w:rsid w:val="004134A1"/>
    <w:rsid w:val="004135AE"/>
    <w:rsid w:val="004135C3"/>
    <w:rsid w:val="004136B7"/>
    <w:rsid w:val="00413E8F"/>
    <w:rsid w:val="00413ECC"/>
    <w:rsid w:val="00413F91"/>
    <w:rsid w:val="00414059"/>
    <w:rsid w:val="0041456A"/>
    <w:rsid w:val="0041456C"/>
    <w:rsid w:val="0041470D"/>
    <w:rsid w:val="00414836"/>
    <w:rsid w:val="004148F3"/>
    <w:rsid w:val="00414921"/>
    <w:rsid w:val="00414AC9"/>
    <w:rsid w:val="00414CCD"/>
    <w:rsid w:val="00415135"/>
    <w:rsid w:val="004151C0"/>
    <w:rsid w:val="004157AE"/>
    <w:rsid w:val="004159BC"/>
    <w:rsid w:val="00415AA3"/>
    <w:rsid w:val="00415AAA"/>
    <w:rsid w:val="00415BBD"/>
    <w:rsid w:val="00415C44"/>
    <w:rsid w:val="00415CC5"/>
    <w:rsid w:val="00415CEF"/>
    <w:rsid w:val="00415E84"/>
    <w:rsid w:val="00415F4D"/>
    <w:rsid w:val="0041607E"/>
    <w:rsid w:val="00416133"/>
    <w:rsid w:val="00416306"/>
    <w:rsid w:val="0041647B"/>
    <w:rsid w:val="0041652E"/>
    <w:rsid w:val="00416979"/>
    <w:rsid w:val="00416ABC"/>
    <w:rsid w:val="00416B52"/>
    <w:rsid w:val="00416CBC"/>
    <w:rsid w:val="00416F25"/>
    <w:rsid w:val="00417643"/>
    <w:rsid w:val="00417C01"/>
    <w:rsid w:val="00417E78"/>
    <w:rsid w:val="00420308"/>
    <w:rsid w:val="0042030E"/>
    <w:rsid w:val="00420348"/>
    <w:rsid w:val="0042093E"/>
    <w:rsid w:val="004209AA"/>
    <w:rsid w:val="00420C13"/>
    <w:rsid w:val="00420F55"/>
    <w:rsid w:val="0042135D"/>
    <w:rsid w:val="004214FF"/>
    <w:rsid w:val="00421619"/>
    <w:rsid w:val="004216E4"/>
    <w:rsid w:val="0042173F"/>
    <w:rsid w:val="00421E09"/>
    <w:rsid w:val="00421EAF"/>
    <w:rsid w:val="00421FB1"/>
    <w:rsid w:val="00421FB3"/>
    <w:rsid w:val="00421FBE"/>
    <w:rsid w:val="00421FD7"/>
    <w:rsid w:val="00422028"/>
    <w:rsid w:val="0042228A"/>
    <w:rsid w:val="004223E0"/>
    <w:rsid w:val="0042265E"/>
    <w:rsid w:val="0042279F"/>
    <w:rsid w:val="0042290D"/>
    <w:rsid w:val="00422BB6"/>
    <w:rsid w:val="00422CB1"/>
    <w:rsid w:val="00422D03"/>
    <w:rsid w:val="00422EA5"/>
    <w:rsid w:val="00422F6A"/>
    <w:rsid w:val="00423140"/>
    <w:rsid w:val="004232AD"/>
    <w:rsid w:val="00423491"/>
    <w:rsid w:val="004235E4"/>
    <w:rsid w:val="00423772"/>
    <w:rsid w:val="004239C6"/>
    <w:rsid w:val="00423B8F"/>
    <w:rsid w:val="00423EF0"/>
    <w:rsid w:val="00423FFD"/>
    <w:rsid w:val="0042420E"/>
    <w:rsid w:val="00424372"/>
    <w:rsid w:val="00424719"/>
    <w:rsid w:val="00424C9F"/>
    <w:rsid w:val="00424D46"/>
    <w:rsid w:val="00425369"/>
    <w:rsid w:val="004257AE"/>
    <w:rsid w:val="004259D1"/>
    <w:rsid w:val="00425B29"/>
    <w:rsid w:val="00425F04"/>
    <w:rsid w:val="00426113"/>
    <w:rsid w:val="004263F6"/>
    <w:rsid w:val="004265B2"/>
    <w:rsid w:val="00426747"/>
    <w:rsid w:val="00427137"/>
    <w:rsid w:val="00427236"/>
    <w:rsid w:val="004273D4"/>
    <w:rsid w:val="00427524"/>
    <w:rsid w:val="00427686"/>
    <w:rsid w:val="00427744"/>
    <w:rsid w:val="004278FB"/>
    <w:rsid w:val="00427D12"/>
    <w:rsid w:val="0043000D"/>
    <w:rsid w:val="00430224"/>
    <w:rsid w:val="00430485"/>
    <w:rsid w:val="00430671"/>
    <w:rsid w:val="00430783"/>
    <w:rsid w:val="004307C5"/>
    <w:rsid w:val="004308F0"/>
    <w:rsid w:val="00430A81"/>
    <w:rsid w:val="0043116C"/>
    <w:rsid w:val="004311A4"/>
    <w:rsid w:val="0043145A"/>
    <w:rsid w:val="004314AD"/>
    <w:rsid w:val="00431527"/>
    <w:rsid w:val="00431DD0"/>
    <w:rsid w:val="00431FE1"/>
    <w:rsid w:val="00432215"/>
    <w:rsid w:val="0043293D"/>
    <w:rsid w:val="00432A02"/>
    <w:rsid w:val="00432A0C"/>
    <w:rsid w:val="00432DC4"/>
    <w:rsid w:val="004334FF"/>
    <w:rsid w:val="004335D6"/>
    <w:rsid w:val="004335F3"/>
    <w:rsid w:val="00433646"/>
    <w:rsid w:val="00433924"/>
    <w:rsid w:val="00433A0B"/>
    <w:rsid w:val="00433A39"/>
    <w:rsid w:val="00433B2B"/>
    <w:rsid w:val="00433B5E"/>
    <w:rsid w:val="00433C40"/>
    <w:rsid w:val="00434020"/>
    <w:rsid w:val="00434194"/>
    <w:rsid w:val="00434573"/>
    <w:rsid w:val="0043465F"/>
    <w:rsid w:val="0043476B"/>
    <w:rsid w:val="004347AA"/>
    <w:rsid w:val="00434E1C"/>
    <w:rsid w:val="0043524B"/>
    <w:rsid w:val="004352C8"/>
    <w:rsid w:val="00435653"/>
    <w:rsid w:val="004357D3"/>
    <w:rsid w:val="0043580B"/>
    <w:rsid w:val="00435823"/>
    <w:rsid w:val="00435BB3"/>
    <w:rsid w:val="00435E22"/>
    <w:rsid w:val="00435E43"/>
    <w:rsid w:val="00435F5E"/>
    <w:rsid w:val="004363A6"/>
    <w:rsid w:val="00436594"/>
    <w:rsid w:val="0043659C"/>
    <w:rsid w:val="004366C2"/>
    <w:rsid w:val="004366E5"/>
    <w:rsid w:val="004366FF"/>
    <w:rsid w:val="00436CAA"/>
    <w:rsid w:val="00436DBF"/>
    <w:rsid w:val="00436E18"/>
    <w:rsid w:val="00436F00"/>
    <w:rsid w:val="004373E4"/>
    <w:rsid w:val="004374B4"/>
    <w:rsid w:val="0043783B"/>
    <w:rsid w:val="00437D32"/>
    <w:rsid w:val="00437DEC"/>
    <w:rsid w:val="00437F99"/>
    <w:rsid w:val="004402F0"/>
    <w:rsid w:val="00440388"/>
    <w:rsid w:val="0044082D"/>
    <w:rsid w:val="00440906"/>
    <w:rsid w:val="00440BA6"/>
    <w:rsid w:val="00441109"/>
    <w:rsid w:val="0044137F"/>
    <w:rsid w:val="00441957"/>
    <w:rsid w:val="00441B29"/>
    <w:rsid w:val="00441CE2"/>
    <w:rsid w:val="004420B6"/>
    <w:rsid w:val="00442125"/>
    <w:rsid w:val="0044219C"/>
    <w:rsid w:val="004421FA"/>
    <w:rsid w:val="004423B0"/>
    <w:rsid w:val="00442C9C"/>
    <w:rsid w:val="00442F34"/>
    <w:rsid w:val="00443064"/>
    <w:rsid w:val="00443226"/>
    <w:rsid w:val="0044323F"/>
    <w:rsid w:val="004432C9"/>
    <w:rsid w:val="004437F6"/>
    <w:rsid w:val="00443AAE"/>
    <w:rsid w:val="00443F19"/>
    <w:rsid w:val="00443FF2"/>
    <w:rsid w:val="004440BB"/>
    <w:rsid w:val="00444336"/>
    <w:rsid w:val="0044467E"/>
    <w:rsid w:val="004448E1"/>
    <w:rsid w:val="004448EE"/>
    <w:rsid w:val="004449D2"/>
    <w:rsid w:val="00444C55"/>
    <w:rsid w:val="004453CC"/>
    <w:rsid w:val="00445439"/>
    <w:rsid w:val="0044554F"/>
    <w:rsid w:val="00445846"/>
    <w:rsid w:val="004458CA"/>
    <w:rsid w:val="004459BB"/>
    <w:rsid w:val="00445C0A"/>
    <w:rsid w:val="00445C3C"/>
    <w:rsid w:val="00445C87"/>
    <w:rsid w:val="00445DD8"/>
    <w:rsid w:val="004460BF"/>
    <w:rsid w:val="00446120"/>
    <w:rsid w:val="0044619D"/>
    <w:rsid w:val="00446411"/>
    <w:rsid w:val="0044644C"/>
    <w:rsid w:val="00446810"/>
    <w:rsid w:val="0044681C"/>
    <w:rsid w:val="004469D7"/>
    <w:rsid w:val="00446CEE"/>
    <w:rsid w:val="00446D41"/>
    <w:rsid w:val="00446D80"/>
    <w:rsid w:val="00446E63"/>
    <w:rsid w:val="00447636"/>
    <w:rsid w:val="00447C4D"/>
    <w:rsid w:val="00450110"/>
    <w:rsid w:val="00450618"/>
    <w:rsid w:val="004508F2"/>
    <w:rsid w:val="00450A49"/>
    <w:rsid w:val="00450A5F"/>
    <w:rsid w:val="00450B4D"/>
    <w:rsid w:val="00450EE6"/>
    <w:rsid w:val="004511EE"/>
    <w:rsid w:val="0045170D"/>
    <w:rsid w:val="004518CC"/>
    <w:rsid w:val="00451AD4"/>
    <w:rsid w:val="00451CCC"/>
    <w:rsid w:val="00451E99"/>
    <w:rsid w:val="004529E7"/>
    <w:rsid w:val="00452F04"/>
    <w:rsid w:val="004530D8"/>
    <w:rsid w:val="00453573"/>
    <w:rsid w:val="00453658"/>
    <w:rsid w:val="004537EE"/>
    <w:rsid w:val="004538A6"/>
    <w:rsid w:val="00453931"/>
    <w:rsid w:val="00453944"/>
    <w:rsid w:val="00453E7A"/>
    <w:rsid w:val="004548DB"/>
    <w:rsid w:val="00454931"/>
    <w:rsid w:val="00454D38"/>
    <w:rsid w:val="00454E16"/>
    <w:rsid w:val="00454EEF"/>
    <w:rsid w:val="00454F2E"/>
    <w:rsid w:val="00454FE6"/>
    <w:rsid w:val="004551BF"/>
    <w:rsid w:val="0045543A"/>
    <w:rsid w:val="004556BD"/>
    <w:rsid w:val="00455833"/>
    <w:rsid w:val="00455962"/>
    <w:rsid w:val="00455A76"/>
    <w:rsid w:val="00455BEB"/>
    <w:rsid w:val="00455F27"/>
    <w:rsid w:val="00455F4A"/>
    <w:rsid w:val="00455F91"/>
    <w:rsid w:val="004560EF"/>
    <w:rsid w:val="004568E7"/>
    <w:rsid w:val="0045697A"/>
    <w:rsid w:val="00456B21"/>
    <w:rsid w:val="00457064"/>
    <w:rsid w:val="004570AA"/>
    <w:rsid w:val="004573B9"/>
    <w:rsid w:val="004573C6"/>
    <w:rsid w:val="004578EC"/>
    <w:rsid w:val="00457BCB"/>
    <w:rsid w:val="00457FF3"/>
    <w:rsid w:val="00460634"/>
    <w:rsid w:val="0046066D"/>
    <w:rsid w:val="0046097C"/>
    <w:rsid w:val="00460A9C"/>
    <w:rsid w:val="00460CD6"/>
    <w:rsid w:val="00460FAE"/>
    <w:rsid w:val="00460FEB"/>
    <w:rsid w:val="004613FE"/>
    <w:rsid w:val="004614DA"/>
    <w:rsid w:val="00461507"/>
    <w:rsid w:val="004616AB"/>
    <w:rsid w:val="004616F4"/>
    <w:rsid w:val="004617A2"/>
    <w:rsid w:val="00461A03"/>
    <w:rsid w:val="004620FC"/>
    <w:rsid w:val="00462286"/>
    <w:rsid w:val="004625A3"/>
    <w:rsid w:val="00462647"/>
    <w:rsid w:val="0046286A"/>
    <w:rsid w:val="00462A2E"/>
    <w:rsid w:val="00462AAB"/>
    <w:rsid w:val="00462B20"/>
    <w:rsid w:val="00462D43"/>
    <w:rsid w:val="00462E4C"/>
    <w:rsid w:val="00462F1E"/>
    <w:rsid w:val="0046303E"/>
    <w:rsid w:val="004633DE"/>
    <w:rsid w:val="00463A1D"/>
    <w:rsid w:val="00463E7D"/>
    <w:rsid w:val="0046431F"/>
    <w:rsid w:val="00464809"/>
    <w:rsid w:val="00464B3B"/>
    <w:rsid w:val="00464C7C"/>
    <w:rsid w:val="00464CA8"/>
    <w:rsid w:val="00464DF9"/>
    <w:rsid w:val="00464ECC"/>
    <w:rsid w:val="00464F23"/>
    <w:rsid w:val="00464FF9"/>
    <w:rsid w:val="004650D3"/>
    <w:rsid w:val="004651D7"/>
    <w:rsid w:val="0046532F"/>
    <w:rsid w:val="004653D9"/>
    <w:rsid w:val="00465456"/>
    <w:rsid w:val="00465C73"/>
    <w:rsid w:val="00466326"/>
    <w:rsid w:val="00466709"/>
    <w:rsid w:val="004667FC"/>
    <w:rsid w:val="00466920"/>
    <w:rsid w:val="0046725D"/>
    <w:rsid w:val="00467407"/>
    <w:rsid w:val="00467434"/>
    <w:rsid w:val="00467998"/>
    <w:rsid w:val="00467B35"/>
    <w:rsid w:val="00467C27"/>
    <w:rsid w:val="00467C86"/>
    <w:rsid w:val="00467FA1"/>
    <w:rsid w:val="004700A4"/>
    <w:rsid w:val="00470102"/>
    <w:rsid w:val="0047014F"/>
    <w:rsid w:val="0047049E"/>
    <w:rsid w:val="00470862"/>
    <w:rsid w:val="00470B7A"/>
    <w:rsid w:val="00470D45"/>
    <w:rsid w:val="00471212"/>
    <w:rsid w:val="00471280"/>
    <w:rsid w:val="00471413"/>
    <w:rsid w:val="00471AD6"/>
    <w:rsid w:val="00471CC5"/>
    <w:rsid w:val="00472083"/>
    <w:rsid w:val="004725C3"/>
    <w:rsid w:val="004725D5"/>
    <w:rsid w:val="0047289A"/>
    <w:rsid w:val="00472ACC"/>
    <w:rsid w:val="00472D9E"/>
    <w:rsid w:val="004739C1"/>
    <w:rsid w:val="004739C5"/>
    <w:rsid w:val="00473E10"/>
    <w:rsid w:val="00473FF4"/>
    <w:rsid w:val="00474226"/>
    <w:rsid w:val="00474702"/>
    <w:rsid w:val="00474817"/>
    <w:rsid w:val="0047482A"/>
    <w:rsid w:val="004751B8"/>
    <w:rsid w:val="0047524C"/>
    <w:rsid w:val="00475312"/>
    <w:rsid w:val="004754A4"/>
    <w:rsid w:val="0047558B"/>
    <w:rsid w:val="00475593"/>
    <w:rsid w:val="00475917"/>
    <w:rsid w:val="00475BA2"/>
    <w:rsid w:val="00475D56"/>
    <w:rsid w:val="00475E8F"/>
    <w:rsid w:val="0047602A"/>
    <w:rsid w:val="00476521"/>
    <w:rsid w:val="004765C8"/>
    <w:rsid w:val="0047690B"/>
    <w:rsid w:val="00476AAB"/>
    <w:rsid w:val="00476BA9"/>
    <w:rsid w:val="00476C10"/>
    <w:rsid w:val="004778AD"/>
    <w:rsid w:val="00477B70"/>
    <w:rsid w:val="00477BC5"/>
    <w:rsid w:val="00477BD9"/>
    <w:rsid w:val="004807A7"/>
    <w:rsid w:val="00480A92"/>
    <w:rsid w:val="00480A9B"/>
    <w:rsid w:val="00480AB7"/>
    <w:rsid w:val="00480DCC"/>
    <w:rsid w:val="00480DDB"/>
    <w:rsid w:val="00480E61"/>
    <w:rsid w:val="00480F5A"/>
    <w:rsid w:val="00481113"/>
    <w:rsid w:val="004814F5"/>
    <w:rsid w:val="00481959"/>
    <w:rsid w:val="00481E05"/>
    <w:rsid w:val="00481E64"/>
    <w:rsid w:val="00481EF8"/>
    <w:rsid w:val="004820F1"/>
    <w:rsid w:val="00482A68"/>
    <w:rsid w:val="00482B48"/>
    <w:rsid w:val="00482C28"/>
    <w:rsid w:val="00482C95"/>
    <w:rsid w:val="00482DF9"/>
    <w:rsid w:val="00482E15"/>
    <w:rsid w:val="00482E8A"/>
    <w:rsid w:val="00483155"/>
    <w:rsid w:val="004831D2"/>
    <w:rsid w:val="0048338F"/>
    <w:rsid w:val="004834EA"/>
    <w:rsid w:val="0048357B"/>
    <w:rsid w:val="004835AD"/>
    <w:rsid w:val="00483741"/>
    <w:rsid w:val="004839DE"/>
    <w:rsid w:val="004839EB"/>
    <w:rsid w:val="00483B37"/>
    <w:rsid w:val="00483CCD"/>
    <w:rsid w:val="004844EF"/>
    <w:rsid w:val="00484611"/>
    <w:rsid w:val="0048484D"/>
    <w:rsid w:val="004848DF"/>
    <w:rsid w:val="00484C98"/>
    <w:rsid w:val="00484D05"/>
    <w:rsid w:val="00485358"/>
    <w:rsid w:val="004853D5"/>
    <w:rsid w:val="00485611"/>
    <w:rsid w:val="00485666"/>
    <w:rsid w:val="004857CE"/>
    <w:rsid w:val="00485E84"/>
    <w:rsid w:val="00485FBB"/>
    <w:rsid w:val="00486046"/>
    <w:rsid w:val="0048644D"/>
    <w:rsid w:val="004865F4"/>
    <w:rsid w:val="004867B3"/>
    <w:rsid w:val="00486AD7"/>
    <w:rsid w:val="0048701E"/>
    <w:rsid w:val="00487518"/>
    <w:rsid w:val="004877CE"/>
    <w:rsid w:val="00487943"/>
    <w:rsid w:val="0049010E"/>
    <w:rsid w:val="004901E7"/>
    <w:rsid w:val="0049033A"/>
    <w:rsid w:val="00490395"/>
    <w:rsid w:val="00490A79"/>
    <w:rsid w:val="0049138C"/>
    <w:rsid w:val="004914B0"/>
    <w:rsid w:val="00491C30"/>
    <w:rsid w:val="00491D2D"/>
    <w:rsid w:val="00491D53"/>
    <w:rsid w:val="00491D83"/>
    <w:rsid w:val="00491DC8"/>
    <w:rsid w:val="0049229C"/>
    <w:rsid w:val="0049243E"/>
    <w:rsid w:val="004926A0"/>
    <w:rsid w:val="00492A30"/>
    <w:rsid w:val="0049311F"/>
    <w:rsid w:val="0049339F"/>
    <w:rsid w:val="0049384E"/>
    <w:rsid w:val="00493886"/>
    <w:rsid w:val="00493B70"/>
    <w:rsid w:val="00493C05"/>
    <w:rsid w:val="00493E35"/>
    <w:rsid w:val="00493E8A"/>
    <w:rsid w:val="0049425D"/>
    <w:rsid w:val="0049429D"/>
    <w:rsid w:val="0049443A"/>
    <w:rsid w:val="004944AA"/>
    <w:rsid w:val="0049465A"/>
    <w:rsid w:val="00494A7E"/>
    <w:rsid w:val="00494B3C"/>
    <w:rsid w:val="00494C4F"/>
    <w:rsid w:val="00494C9F"/>
    <w:rsid w:val="00494DE5"/>
    <w:rsid w:val="00494DFF"/>
    <w:rsid w:val="00494F1A"/>
    <w:rsid w:val="00495143"/>
    <w:rsid w:val="00495339"/>
    <w:rsid w:val="0049548E"/>
    <w:rsid w:val="00495492"/>
    <w:rsid w:val="00495CC2"/>
    <w:rsid w:val="00495ED7"/>
    <w:rsid w:val="00495F84"/>
    <w:rsid w:val="004960F8"/>
    <w:rsid w:val="00496120"/>
    <w:rsid w:val="004961F6"/>
    <w:rsid w:val="004965DF"/>
    <w:rsid w:val="00496A39"/>
    <w:rsid w:val="00496D40"/>
    <w:rsid w:val="00496E49"/>
    <w:rsid w:val="00496EC0"/>
    <w:rsid w:val="00496F3E"/>
    <w:rsid w:val="0049706F"/>
    <w:rsid w:val="00497223"/>
    <w:rsid w:val="00497566"/>
    <w:rsid w:val="004977A4"/>
    <w:rsid w:val="0049798C"/>
    <w:rsid w:val="00497A3D"/>
    <w:rsid w:val="004A00DA"/>
    <w:rsid w:val="004A01FB"/>
    <w:rsid w:val="004A05CD"/>
    <w:rsid w:val="004A0660"/>
    <w:rsid w:val="004A073B"/>
    <w:rsid w:val="004A0D82"/>
    <w:rsid w:val="004A13A8"/>
    <w:rsid w:val="004A15E9"/>
    <w:rsid w:val="004A191E"/>
    <w:rsid w:val="004A2092"/>
    <w:rsid w:val="004A2518"/>
    <w:rsid w:val="004A28F1"/>
    <w:rsid w:val="004A2A51"/>
    <w:rsid w:val="004A2B6A"/>
    <w:rsid w:val="004A2FA1"/>
    <w:rsid w:val="004A2FB4"/>
    <w:rsid w:val="004A355D"/>
    <w:rsid w:val="004A3ACA"/>
    <w:rsid w:val="004A3B3D"/>
    <w:rsid w:val="004A3C2D"/>
    <w:rsid w:val="004A4097"/>
    <w:rsid w:val="004A4209"/>
    <w:rsid w:val="004A44B3"/>
    <w:rsid w:val="004A44D4"/>
    <w:rsid w:val="004A454E"/>
    <w:rsid w:val="004A46B7"/>
    <w:rsid w:val="004A46FE"/>
    <w:rsid w:val="004A4724"/>
    <w:rsid w:val="004A48D0"/>
    <w:rsid w:val="004A4AF0"/>
    <w:rsid w:val="004A4B7B"/>
    <w:rsid w:val="004A4C6C"/>
    <w:rsid w:val="004A4F9E"/>
    <w:rsid w:val="004A514D"/>
    <w:rsid w:val="004A52E3"/>
    <w:rsid w:val="004A54A3"/>
    <w:rsid w:val="004A586D"/>
    <w:rsid w:val="004A5B61"/>
    <w:rsid w:val="004A5B7A"/>
    <w:rsid w:val="004A5E24"/>
    <w:rsid w:val="004A6065"/>
    <w:rsid w:val="004A6221"/>
    <w:rsid w:val="004A64D5"/>
    <w:rsid w:val="004A683B"/>
    <w:rsid w:val="004A68A7"/>
    <w:rsid w:val="004A6A70"/>
    <w:rsid w:val="004A6B11"/>
    <w:rsid w:val="004A6BB1"/>
    <w:rsid w:val="004A6F5B"/>
    <w:rsid w:val="004A6FDB"/>
    <w:rsid w:val="004A7198"/>
    <w:rsid w:val="004A7256"/>
    <w:rsid w:val="004A72CB"/>
    <w:rsid w:val="004A7323"/>
    <w:rsid w:val="004A76F7"/>
    <w:rsid w:val="004A7A3B"/>
    <w:rsid w:val="004A7D21"/>
    <w:rsid w:val="004A7DAE"/>
    <w:rsid w:val="004A7DDD"/>
    <w:rsid w:val="004A7E29"/>
    <w:rsid w:val="004A7F1A"/>
    <w:rsid w:val="004B00C8"/>
    <w:rsid w:val="004B0119"/>
    <w:rsid w:val="004B0444"/>
    <w:rsid w:val="004B0580"/>
    <w:rsid w:val="004B0A37"/>
    <w:rsid w:val="004B0A89"/>
    <w:rsid w:val="004B0A91"/>
    <w:rsid w:val="004B0B7D"/>
    <w:rsid w:val="004B0E2E"/>
    <w:rsid w:val="004B1391"/>
    <w:rsid w:val="004B1579"/>
    <w:rsid w:val="004B17F6"/>
    <w:rsid w:val="004B1E9D"/>
    <w:rsid w:val="004B21E6"/>
    <w:rsid w:val="004B221E"/>
    <w:rsid w:val="004B2594"/>
    <w:rsid w:val="004B3067"/>
    <w:rsid w:val="004B32BF"/>
    <w:rsid w:val="004B34D4"/>
    <w:rsid w:val="004B35DE"/>
    <w:rsid w:val="004B366C"/>
    <w:rsid w:val="004B3677"/>
    <w:rsid w:val="004B38C8"/>
    <w:rsid w:val="004B3AB7"/>
    <w:rsid w:val="004B3B97"/>
    <w:rsid w:val="004B3CA6"/>
    <w:rsid w:val="004B3EA3"/>
    <w:rsid w:val="004B406D"/>
    <w:rsid w:val="004B41E6"/>
    <w:rsid w:val="004B453A"/>
    <w:rsid w:val="004B505A"/>
    <w:rsid w:val="004B51CC"/>
    <w:rsid w:val="004B528F"/>
    <w:rsid w:val="004B5459"/>
    <w:rsid w:val="004B54E8"/>
    <w:rsid w:val="004B5757"/>
    <w:rsid w:val="004B59B7"/>
    <w:rsid w:val="004B5E93"/>
    <w:rsid w:val="004B66DE"/>
    <w:rsid w:val="004B6837"/>
    <w:rsid w:val="004B691E"/>
    <w:rsid w:val="004B734A"/>
    <w:rsid w:val="004B7534"/>
    <w:rsid w:val="004B7552"/>
    <w:rsid w:val="004B78E9"/>
    <w:rsid w:val="004B79A1"/>
    <w:rsid w:val="004B7A4B"/>
    <w:rsid w:val="004B7AA9"/>
    <w:rsid w:val="004B7D64"/>
    <w:rsid w:val="004B7DED"/>
    <w:rsid w:val="004C01F2"/>
    <w:rsid w:val="004C02CC"/>
    <w:rsid w:val="004C054B"/>
    <w:rsid w:val="004C05D7"/>
    <w:rsid w:val="004C0902"/>
    <w:rsid w:val="004C0971"/>
    <w:rsid w:val="004C0C50"/>
    <w:rsid w:val="004C0ED5"/>
    <w:rsid w:val="004C1125"/>
    <w:rsid w:val="004C11ED"/>
    <w:rsid w:val="004C1394"/>
    <w:rsid w:val="004C13AA"/>
    <w:rsid w:val="004C1607"/>
    <w:rsid w:val="004C1687"/>
    <w:rsid w:val="004C1781"/>
    <w:rsid w:val="004C1842"/>
    <w:rsid w:val="004C18C5"/>
    <w:rsid w:val="004C18E3"/>
    <w:rsid w:val="004C1908"/>
    <w:rsid w:val="004C1984"/>
    <w:rsid w:val="004C1C9D"/>
    <w:rsid w:val="004C1EBD"/>
    <w:rsid w:val="004C1ECA"/>
    <w:rsid w:val="004C1FB1"/>
    <w:rsid w:val="004C2565"/>
    <w:rsid w:val="004C2ECA"/>
    <w:rsid w:val="004C3552"/>
    <w:rsid w:val="004C3790"/>
    <w:rsid w:val="004C37E5"/>
    <w:rsid w:val="004C37FD"/>
    <w:rsid w:val="004C38E7"/>
    <w:rsid w:val="004C3998"/>
    <w:rsid w:val="004C3C1A"/>
    <w:rsid w:val="004C3D10"/>
    <w:rsid w:val="004C3F19"/>
    <w:rsid w:val="004C3F9F"/>
    <w:rsid w:val="004C4257"/>
    <w:rsid w:val="004C42C4"/>
    <w:rsid w:val="004C4529"/>
    <w:rsid w:val="004C4A8A"/>
    <w:rsid w:val="004C52D7"/>
    <w:rsid w:val="004C53A4"/>
    <w:rsid w:val="004C53F1"/>
    <w:rsid w:val="004C5D9F"/>
    <w:rsid w:val="004C5E91"/>
    <w:rsid w:val="004C6391"/>
    <w:rsid w:val="004C6633"/>
    <w:rsid w:val="004C663B"/>
    <w:rsid w:val="004C6677"/>
    <w:rsid w:val="004C698A"/>
    <w:rsid w:val="004C6E20"/>
    <w:rsid w:val="004C704F"/>
    <w:rsid w:val="004C7403"/>
    <w:rsid w:val="004C7889"/>
    <w:rsid w:val="004C7D0E"/>
    <w:rsid w:val="004C7E05"/>
    <w:rsid w:val="004C7E07"/>
    <w:rsid w:val="004C7EF6"/>
    <w:rsid w:val="004D090D"/>
    <w:rsid w:val="004D0956"/>
    <w:rsid w:val="004D0A1B"/>
    <w:rsid w:val="004D0C4E"/>
    <w:rsid w:val="004D0E4E"/>
    <w:rsid w:val="004D0F06"/>
    <w:rsid w:val="004D14B5"/>
    <w:rsid w:val="004D1906"/>
    <w:rsid w:val="004D190D"/>
    <w:rsid w:val="004D1BB6"/>
    <w:rsid w:val="004D2090"/>
    <w:rsid w:val="004D26AF"/>
    <w:rsid w:val="004D2921"/>
    <w:rsid w:val="004D2CA7"/>
    <w:rsid w:val="004D2CC7"/>
    <w:rsid w:val="004D317E"/>
    <w:rsid w:val="004D32B6"/>
    <w:rsid w:val="004D3469"/>
    <w:rsid w:val="004D3499"/>
    <w:rsid w:val="004D3537"/>
    <w:rsid w:val="004D3688"/>
    <w:rsid w:val="004D38C5"/>
    <w:rsid w:val="004D3A69"/>
    <w:rsid w:val="004D3C91"/>
    <w:rsid w:val="004D411A"/>
    <w:rsid w:val="004D4127"/>
    <w:rsid w:val="004D41CC"/>
    <w:rsid w:val="004D44D0"/>
    <w:rsid w:val="004D46F0"/>
    <w:rsid w:val="004D534E"/>
    <w:rsid w:val="004D55C8"/>
    <w:rsid w:val="004D56F0"/>
    <w:rsid w:val="004D5701"/>
    <w:rsid w:val="004D57C0"/>
    <w:rsid w:val="004D591D"/>
    <w:rsid w:val="004D5B34"/>
    <w:rsid w:val="004D5B45"/>
    <w:rsid w:val="004D5C36"/>
    <w:rsid w:val="004D5DD1"/>
    <w:rsid w:val="004D6101"/>
    <w:rsid w:val="004D613B"/>
    <w:rsid w:val="004D624C"/>
    <w:rsid w:val="004D62C3"/>
    <w:rsid w:val="004D62F7"/>
    <w:rsid w:val="004D6308"/>
    <w:rsid w:val="004D64A7"/>
    <w:rsid w:val="004D669A"/>
    <w:rsid w:val="004D67E0"/>
    <w:rsid w:val="004D6C3C"/>
    <w:rsid w:val="004D74B9"/>
    <w:rsid w:val="004D76ED"/>
    <w:rsid w:val="004D783D"/>
    <w:rsid w:val="004D7A4F"/>
    <w:rsid w:val="004D7A51"/>
    <w:rsid w:val="004D7BF8"/>
    <w:rsid w:val="004D7E31"/>
    <w:rsid w:val="004E00BC"/>
    <w:rsid w:val="004E08BD"/>
    <w:rsid w:val="004E092B"/>
    <w:rsid w:val="004E0D18"/>
    <w:rsid w:val="004E0FBC"/>
    <w:rsid w:val="004E105D"/>
    <w:rsid w:val="004E141B"/>
    <w:rsid w:val="004E1434"/>
    <w:rsid w:val="004E144C"/>
    <w:rsid w:val="004E1471"/>
    <w:rsid w:val="004E1565"/>
    <w:rsid w:val="004E16AD"/>
    <w:rsid w:val="004E175B"/>
    <w:rsid w:val="004E1971"/>
    <w:rsid w:val="004E1B23"/>
    <w:rsid w:val="004E1F31"/>
    <w:rsid w:val="004E2233"/>
    <w:rsid w:val="004E234F"/>
    <w:rsid w:val="004E295E"/>
    <w:rsid w:val="004E29D0"/>
    <w:rsid w:val="004E2ACA"/>
    <w:rsid w:val="004E2BD0"/>
    <w:rsid w:val="004E2D08"/>
    <w:rsid w:val="004E2D68"/>
    <w:rsid w:val="004E2D87"/>
    <w:rsid w:val="004E2FFB"/>
    <w:rsid w:val="004E306B"/>
    <w:rsid w:val="004E33BE"/>
    <w:rsid w:val="004E34EA"/>
    <w:rsid w:val="004E3617"/>
    <w:rsid w:val="004E38DD"/>
    <w:rsid w:val="004E3A25"/>
    <w:rsid w:val="004E3BAF"/>
    <w:rsid w:val="004E3BFB"/>
    <w:rsid w:val="004E3C3B"/>
    <w:rsid w:val="004E4042"/>
    <w:rsid w:val="004E423A"/>
    <w:rsid w:val="004E4557"/>
    <w:rsid w:val="004E4698"/>
    <w:rsid w:val="004E493F"/>
    <w:rsid w:val="004E4A81"/>
    <w:rsid w:val="004E4B69"/>
    <w:rsid w:val="004E4F02"/>
    <w:rsid w:val="004E4F8C"/>
    <w:rsid w:val="004E517E"/>
    <w:rsid w:val="004E54E1"/>
    <w:rsid w:val="004E55CB"/>
    <w:rsid w:val="004E57B7"/>
    <w:rsid w:val="004E57C2"/>
    <w:rsid w:val="004E5884"/>
    <w:rsid w:val="004E5AF7"/>
    <w:rsid w:val="004E6358"/>
    <w:rsid w:val="004E6704"/>
    <w:rsid w:val="004E681B"/>
    <w:rsid w:val="004E69A6"/>
    <w:rsid w:val="004E6C5D"/>
    <w:rsid w:val="004E712C"/>
    <w:rsid w:val="004E7159"/>
    <w:rsid w:val="004E7677"/>
    <w:rsid w:val="004E76D7"/>
    <w:rsid w:val="004E7826"/>
    <w:rsid w:val="004E7B87"/>
    <w:rsid w:val="004E7C97"/>
    <w:rsid w:val="004E7E45"/>
    <w:rsid w:val="004E7E63"/>
    <w:rsid w:val="004F023C"/>
    <w:rsid w:val="004F034D"/>
    <w:rsid w:val="004F03B4"/>
    <w:rsid w:val="004F054A"/>
    <w:rsid w:val="004F0618"/>
    <w:rsid w:val="004F063B"/>
    <w:rsid w:val="004F0848"/>
    <w:rsid w:val="004F0D3E"/>
    <w:rsid w:val="004F0DE4"/>
    <w:rsid w:val="004F1187"/>
    <w:rsid w:val="004F15D8"/>
    <w:rsid w:val="004F1CFD"/>
    <w:rsid w:val="004F1EB5"/>
    <w:rsid w:val="004F24ED"/>
    <w:rsid w:val="004F2998"/>
    <w:rsid w:val="004F2CDD"/>
    <w:rsid w:val="004F2D10"/>
    <w:rsid w:val="004F2E54"/>
    <w:rsid w:val="004F2E98"/>
    <w:rsid w:val="004F2F73"/>
    <w:rsid w:val="004F32A5"/>
    <w:rsid w:val="004F36EB"/>
    <w:rsid w:val="004F382F"/>
    <w:rsid w:val="004F3885"/>
    <w:rsid w:val="004F3952"/>
    <w:rsid w:val="004F3990"/>
    <w:rsid w:val="004F3A94"/>
    <w:rsid w:val="004F3B07"/>
    <w:rsid w:val="004F3B57"/>
    <w:rsid w:val="004F3E7C"/>
    <w:rsid w:val="004F4622"/>
    <w:rsid w:val="004F474A"/>
    <w:rsid w:val="004F4CA5"/>
    <w:rsid w:val="004F4D85"/>
    <w:rsid w:val="004F4E7E"/>
    <w:rsid w:val="004F4F97"/>
    <w:rsid w:val="004F5369"/>
    <w:rsid w:val="004F5455"/>
    <w:rsid w:val="004F5469"/>
    <w:rsid w:val="004F575F"/>
    <w:rsid w:val="004F5A3E"/>
    <w:rsid w:val="004F5BD5"/>
    <w:rsid w:val="004F5C8B"/>
    <w:rsid w:val="004F6051"/>
    <w:rsid w:val="004F61B4"/>
    <w:rsid w:val="004F62FE"/>
    <w:rsid w:val="004F6486"/>
    <w:rsid w:val="004F6812"/>
    <w:rsid w:val="004F6956"/>
    <w:rsid w:val="004F69E1"/>
    <w:rsid w:val="004F6A33"/>
    <w:rsid w:val="004F6A35"/>
    <w:rsid w:val="004F6CCC"/>
    <w:rsid w:val="004F7253"/>
    <w:rsid w:val="004F726D"/>
    <w:rsid w:val="004F774D"/>
    <w:rsid w:val="004F79BB"/>
    <w:rsid w:val="004F7A43"/>
    <w:rsid w:val="00500C95"/>
    <w:rsid w:val="00500CFE"/>
    <w:rsid w:val="00501016"/>
    <w:rsid w:val="005012B9"/>
    <w:rsid w:val="00501920"/>
    <w:rsid w:val="005019DD"/>
    <w:rsid w:val="00501D16"/>
    <w:rsid w:val="005028A0"/>
    <w:rsid w:val="00502930"/>
    <w:rsid w:val="00502BDE"/>
    <w:rsid w:val="00502EC8"/>
    <w:rsid w:val="0050376E"/>
    <w:rsid w:val="00503998"/>
    <w:rsid w:val="00503CE3"/>
    <w:rsid w:val="00503F9A"/>
    <w:rsid w:val="00504685"/>
    <w:rsid w:val="005047FC"/>
    <w:rsid w:val="00505D31"/>
    <w:rsid w:val="00505D4D"/>
    <w:rsid w:val="00505F31"/>
    <w:rsid w:val="00505F8F"/>
    <w:rsid w:val="00506670"/>
    <w:rsid w:val="00506AD8"/>
    <w:rsid w:val="00506CD6"/>
    <w:rsid w:val="00506EAD"/>
    <w:rsid w:val="0050706C"/>
    <w:rsid w:val="005072C7"/>
    <w:rsid w:val="005076C0"/>
    <w:rsid w:val="005079F8"/>
    <w:rsid w:val="00507A4D"/>
    <w:rsid w:val="00507A97"/>
    <w:rsid w:val="00507AF5"/>
    <w:rsid w:val="00507B92"/>
    <w:rsid w:val="00507F70"/>
    <w:rsid w:val="005102E8"/>
    <w:rsid w:val="00510622"/>
    <w:rsid w:val="005106DC"/>
    <w:rsid w:val="005106E5"/>
    <w:rsid w:val="00510873"/>
    <w:rsid w:val="0051097E"/>
    <w:rsid w:val="00510A1B"/>
    <w:rsid w:val="00510EDD"/>
    <w:rsid w:val="00510F7D"/>
    <w:rsid w:val="00511235"/>
    <w:rsid w:val="005114BC"/>
    <w:rsid w:val="0051166F"/>
    <w:rsid w:val="005117F9"/>
    <w:rsid w:val="00511ED5"/>
    <w:rsid w:val="005122C3"/>
    <w:rsid w:val="0051264B"/>
    <w:rsid w:val="0051271C"/>
    <w:rsid w:val="00512BB9"/>
    <w:rsid w:val="00512F27"/>
    <w:rsid w:val="00512F5B"/>
    <w:rsid w:val="00513130"/>
    <w:rsid w:val="00513461"/>
    <w:rsid w:val="00513A50"/>
    <w:rsid w:val="00513B49"/>
    <w:rsid w:val="00514222"/>
    <w:rsid w:val="00514567"/>
    <w:rsid w:val="00514661"/>
    <w:rsid w:val="00514707"/>
    <w:rsid w:val="00514DE2"/>
    <w:rsid w:val="00515093"/>
    <w:rsid w:val="005150DE"/>
    <w:rsid w:val="0051535E"/>
    <w:rsid w:val="00515537"/>
    <w:rsid w:val="00515938"/>
    <w:rsid w:val="00515975"/>
    <w:rsid w:val="00515B22"/>
    <w:rsid w:val="0051624B"/>
    <w:rsid w:val="0051643C"/>
    <w:rsid w:val="0051657C"/>
    <w:rsid w:val="00516BD3"/>
    <w:rsid w:val="00516C89"/>
    <w:rsid w:val="00516CBD"/>
    <w:rsid w:val="00516EEA"/>
    <w:rsid w:val="00517105"/>
    <w:rsid w:val="005172ED"/>
    <w:rsid w:val="0051769C"/>
    <w:rsid w:val="0051789A"/>
    <w:rsid w:val="00517906"/>
    <w:rsid w:val="00517A94"/>
    <w:rsid w:val="00517D6B"/>
    <w:rsid w:val="005203FE"/>
    <w:rsid w:val="005208AE"/>
    <w:rsid w:val="005209C5"/>
    <w:rsid w:val="00520A5F"/>
    <w:rsid w:val="00520BB8"/>
    <w:rsid w:val="00520C5F"/>
    <w:rsid w:val="00520DB6"/>
    <w:rsid w:val="0052106C"/>
    <w:rsid w:val="00521572"/>
    <w:rsid w:val="00521822"/>
    <w:rsid w:val="00521ABB"/>
    <w:rsid w:val="00521B1E"/>
    <w:rsid w:val="00522485"/>
    <w:rsid w:val="0052262A"/>
    <w:rsid w:val="005227DB"/>
    <w:rsid w:val="0052301D"/>
    <w:rsid w:val="00523318"/>
    <w:rsid w:val="0052357D"/>
    <w:rsid w:val="005239C0"/>
    <w:rsid w:val="00523A37"/>
    <w:rsid w:val="00523A84"/>
    <w:rsid w:val="00523AA6"/>
    <w:rsid w:val="00523AB3"/>
    <w:rsid w:val="00523B8C"/>
    <w:rsid w:val="00523D86"/>
    <w:rsid w:val="00523E95"/>
    <w:rsid w:val="00524081"/>
    <w:rsid w:val="005241E6"/>
    <w:rsid w:val="0052435A"/>
    <w:rsid w:val="005244E4"/>
    <w:rsid w:val="0052455B"/>
    <w:rsid w:val="005246B0"/>
    <w:rsid w:val="00524A3B"/>
    <w:rsid w:val="00524B40"/>
    <w:rsid w:val="00524C47"/>
    <w:rsid w:val="00524CAC"/>
    <w:rsid w:val="00524CD3"/>
    <w:rsid w:val="00524E7A"/>
    <w:rsid w:val="00524F0A"/>
    <w:rsid w:val="005254A7"/>
    <w:rsid w:val="005255B4"/>
    <w:rsid w:val="00525635"/>
    <w:rsid w:val="00525766"/>
    <w:rsid w:val="0052599B"/>
    <w:rsid w:val="00525EA0"/>
    <w:rsid w:val="00525F52"/>
    <w:rsid w:val="00525FB9"/>
    <w:rsid w:val="00525FEE"/>
    <w:rsid w:val="0052634D"/>
    <w:rsid w:val="005265CD"/>
    <w:rsid w:val="005266CA"/>
    <w:rsid w:val="00526702"/>
    <w:rsid w:val="005269EE"/>
    <w:rsid w:val="00527300"/>
    <w:rsid w:val="00527796"/>
    <w:rsid w:val="005279CA"/>
    <w:rsid w:val="00527B5D"/>
    <w:rsid w:val="00527C4E"/>
    <w:rsid w:val="00527CA2"/>
    <w:rsid w:val="00527E9E"/>
    <w:rsid w:val="00527ED5"/>
    <w:rsid w:val="00530149"/>
    <w:rsid w:val="00530418"/>
    <w:rsid w:val="005304B1"/>
    <w:rsid w:val="00530585"/>
    <w:rsid w:val="005305BB"/>
    <w:rsid w:val="0053080A"/>
    <w:rsid w:val="0053096B"/>
    <w:rsid w:val="005309D8"/>
    <w:rsid w:val="00530A0C"/>
    <w:rsid w:val="00530A77"/>
    <w:rsid w:val="00530C01"/>
    <w:rsid w:val="00530C88"/>
    <w:rsid w:val="00530D5F"/>
    <w:rsid w:val="00530D72"/>
    <w:rsid w:val="00531136"/>
    <w:rsid w:val="00531217"/>
    <w:rsid w:val="005313DC"/>
    <w:rsid w:val="005314F4"/>
    <w:rsid w:val="005318C6"/>
    <w:rsid w:val="00531BFF"/>
    <w:rsid w:val="00531D94"/>
    <w:rsid w:val="00531DBA"/>
    <w:rsid w:val="00531E90"/>
    <w:rsid w:val="0053212D"/>
    <w:rsid w:val="005324E5"/>
    <w:rsid w:val="00532650"/>
    <w:rsid w:val="00532B2F"/>
    <w:rsid w:val="00532F8C"/>
    <w:rsid w:val="00533609"/>
    <w:rsid w:val="00533923"/>
    <w:rsid w:val="00533969"/>
    <w:rsid w:val="00533A3F"/>
    <w:rsid w:val="00533AD4"/>
    <w:rsid w:val="00533B00"/>
    <w:rsid w:val="00533B4A"/>
    <w:rsid w:val="00533B68"/>
    <w:rsid w:val="00533C26"/>
    <w:rsid w:val="00533F29"/>
    <w:rsid w:val="005341DC"/>
    <w:rsid w:val="00534311"/>
    <w:rsid w:val="005344A0"/>
    <w:rsid w:val="0053459F"/>
    <w:rsid w:val="00534A07"/>
    <w:rsid w:val="00534B3F"/>
    <w:rsid w:val="00534B85"/>
    <w:rsid w:val="00534D7E"/>
    <w:rsid w:val="00534E35"/>
    <w:rsid w:val="00534EF5"/>
    <w:rsid w:val="005350CD"/>
    <w:rsid w:val="005353F8"/>
    <w:rsid w:val="00535676"/>
    <w:rsid w:val="005359AD"/>
    <w:rsid w:val="005359BA"/>
    <w:rsid w:val="005359E2"/>
    <w:rsid w:val="00535FC2"/>
    <w:rsid w:val="00536094"/>
    <w:rsid w:val="005363B6"/>
    <w:rsid w:val="00536419"/>
    <w:rsid w:val="0053658A"/>
    <w:rsid w:val="005368E1"/>
    <w:rsid w:val="00536910"/>
    <w:rsid w:val="00536DF4"/>
    <w:rsid w:val="005374CC"/>
    <w:rsid w:val="005376E7"/>
    <w:rsid w:val="0053773E"/>
    <w:rsid w:val="00537957"/>
    <w:rsid w:val="00537980"/>
    <w:rsid w:val="0053799A"/>
    <w:rsid w:val="00537AC2"/>
    <w:rsid w:val="00537AC8"/>
    <w:rsid w:val="00537B05"/>
    <w:rsid w:val="00537E72"/>
    <w:rsid w:val="0054015F"/>
    <w:rsid w:val="005403A2"/>
    <w:rsid w:val="00541257"/>
    <w:rsid w:val="00541284"/>
    <w:rsid w:val="0054160F"/>
    <w:rsid w:val="005417A5"/>
    <w:rsid w:val="00541ABF"/>
    <w:rsid w:val="00541AFA"/>
    <w:rsid w:val="00541BB8"/>
    <w:rsid w:val="00541E81"/>
    <w:rsid w:val="0054205C"/>
    <w:rsid w:val="00542087"/>
    <w:rsid w:val="005421AD"/>
    <w:rsid w:val="005425A3"/>
    <w:rsid w:val="00542677"/>
    <w:rsid w:val="0054270D"/>
    <w:rsid w:val="00542731"/>
    <w:rsid w:val="00542825"/>
    <w:rsid w:val="00542C04"/>
    <w:rsid w:val="00542C06"/>
    <w:rsid w:val="00542E3F"/>
    <w:rsid w:val="00542E64"/>
    <w:rsid w:val="005430AC"/>
    <w:rsid w:val="0054347B"/>
    <w:rsid w:val="0054351B"/>
    <w:rsid w:val="0054351C"/>
    <w:rsid w:val="00543570"/>
    <w:rsid w:val="0054361C"/>
    <w:rsid w:val="00543BC2"/>
    <w:rsid w:val="00543C03"/>
    <w:rsid w:val="00543C82"/>
    <w:rsid w:val="00544270"/>
    <w:rsid w:val="0054444A"/>
    <w:rsid w:val="005446F0"/>
    <w:rsid w:val="005446F2"/>
    <w:rsid w:val="00544E27"/>
    <w:rsid w:val="00544E97"/>
    <w:rsid w:val="00544EB4"/>
    <w:rsid w:val="00545666"/>
    <w:rsid w:val="00545789"/>
    <w:rsid w:val="005459CF"/>
    <w:rsid w:val="00545FB7"/>
    <w:rsid w:val="0054636F"/>
    <w:rsid w:val="005463BF"/>
    <w:rsid w:val="005464F0"/>
    <w:rsid w:val="005466F0"/>
    <w:rsid w:val="00546A1A"/>
    <w:rsid w:val="00546CA7"/>
    <w:rsid w:val="00546E4A"/>
    <w:rsid w:val="00546E4C"/>
    <w:rsid w:val="00546EC9"/>
    <w:rsid w:val="005473D4"/>
    <w:rsid w:val="00547477"/>
    <w:rsid w:val="005474EF"/>
    <w:rsid w:val="00547BDB"/>
    <w:rsid w:val="00547F66"/>
    <w:rsid w:val="005501EF"/>
    <w:rsid w:val="0055034F"/>
    <w:rsid w:val="00550DAC"/>
    <w:rsid w:val="00550FBE"/>
    <w:rsid w:val="0055128B"/>
    <w:rsid w:val="005512A1"/>
    <w:rsid w:val="00551464"/>
    <w:rsid w:val="00551575"/>
    <w:rsid w:val="00551698"/>
    <w:rsid w:val="00551B0B"/>
    <w:rsid w:val="00551B83"/>
    <w:rsid w:val="00551C62"/>
    <w:rsid w:val="00551E16"/>
    <w:rsid w:val="00551F82"/>
    <w:rsid w:val="00551FB1"/>
    <w:rsid w:val="005525EF"/>
    <w:rsid w:val="00552A38"/>
    <w:rsid w:val="00552BC7"/>
    <w:rsid w:val="00552D72"/>
    <w:rsid w:val="00552E88"/>
    <w:rsid w:val="0055327C"/>
    <w:rsid w:val="005532F8"/>
    <w:rsid w:val="0055349D"/>
    <w:rsid w:val="00553572"/>
    <w:rsid w:val="00553755"/>
    <w:rsid w:val="00553861"/>
    <w:rsid w:val="005538EF"/>
    <w:rsid w:val="0055390E"/>
    <w:rsid w:val="00553B60"/>
    <w:rsid w:val="00554332"/>
    <w:rsid w:val="005546DC"/>
    <w:rsid w:val="00554957"/>
    <w:rsid w:val="00554A1B"/>
    <w:rsid w:val="00554C4B"/>
    <w:rsid w:val="005552C7"/>
    <w:rsid w:val="005552F0"/>
    <w:rsid w:val="005553F1"/>
    <w:rsid w:val="005554A1"/>
    <w:rsid w:val="00555583"/>
    <w:rsid w:val="0055573E"/>
    <w:rsid w:val="00555849"/>
    <w:rsid w:val="00555B86"/>
    <w:rsid w:val="00555BE6"/>
    <w:rsid w:val="00555C7E"/>
    <w:rsid w:val="00555EB7"/>
    <w:rsid w:val="005562DE"/>
    <w:rsid w:val="005564D9"/>
    <w:rsid w:val="00556556"/>
    <w:rsid w:val="0055664F"/>
    <w:rsid w:val="00556822"/>
    <w:rsid w:val="00556900"/>
    <w:rsid w:val="00556A38"/>
    <w:rsid w:val="00556BEC"/>
    <w:rsid w:val="00556CCA"/>
    <w:rsid w:val="00556E72"/>
    <w:rsid w:val="00556F04"/>
    <w:rsid w:val="00557102"/>
    <w:rsid w:val="0055725E"/>
    <w:rsid w:val="005576F1"/>
    <w:rsid w:val="00557D37"/>
    <w:rsid w:val="00557F43"/>
    <w:rsid w:val="00557FBB"/>
    <w:rsid w:val="0056015D"/>
    <w:rsid w:val="005601C1"/>
    <w:rsid w:val="0056023B"/>
    <w:rsid w:val="0056026E"/>
    <w:rsid w:val="0056053C"/>
    <w:rsid w:val="00560720"/>
    <w:rsid w:val="00560F22"/>
    <w:rsid w:val="0056126A"/>
    <w:rsid w:val="005618B4"/>
    <w:rsid w:val="00561932"/>
    <w:rsid w:val="005619FC"/>
    <w:rsid w:val="00561A27"/>
    <w:rsid w:val="0056221A"/>
    <w:rsid w:val="0056261A"/>
    <w:rsid w:val="00562736"/>
    <w:rsid w:val="005628ED"/>
    <w:rsid w:val="00562B05"/>
    <w:rsid w:val="00562BFF"/>
    <w:rsid w:val="005632F5"/>
    <w:rsid w:val="0056379F"/>
    <w:rsid w:val="00563807"/>
    <w:rsid w:val="00563E12"/>
    <w:rsid w:val="00563EEE"/>
    <w:rsid w:val="00563FD1"/>
    <w:rsid w:val="00564007"/>
    <w:rsid w:val="00564178"/>
    <w:rsid w:val="005643B4"/>
    <w:rsid w:val="00564502"/>
    <w:rsid w:val="00564705"/>
    <w:rsid w:val="00564974"/>
    <w:rsid w:val="00564A35"/>
    <w:rsid w:val="00564C24"/>
    <w:rsid w:val="00564DBB"/>
    <w:rsid w:val="0056512F"/>
    <w:rsid w:val="005656CF"/>
    <w:rsid w:val="005656EF"/>
    <w:rsid w:val="00565A24"/>
    <w:rsid w:val="00565C48"/>
    <w:rsid w:val="00565DBA"/>
    <w:rsid w:val="0056609E"/>
    <w:rsid w:val="0056611B"/>
    <w:rsid w:val="005662A3"/>
    <w:rsid w:val="00566325"/>
    <w:rsid w:val="00566519"/>
    <w:rsid w:val="0056698B"/>
    <w:rsid w:val="005669B4"/>
    <w:rsid w:val="00566B3C"/>
    <w:rsid w:val="00566FFB"/>
    <w:rsid w:val="0056709E"/>
    <w:rsid w:val="00567226"/>
    <w:rsid w:val="00567634"/>
    <w:rsid w:val="0056763B"/>
    <w:rsid w:val="0056772C"/>
    <w:rsid w:val="005677AF"/>
    <w:rsid w:val="005677F5"/>
    <w:rsid w:val="00567955"/>
    <w:rsid w:val="00567AE3"/>
    <w:rsid w:val="00567C6E"/>
    <w:rsid w:val="00567FE8"/>
    <w:rsid w:val="0057003A"/>
    <w:rsid w:val="005705DF"/>
    <w:rsid w:val="005707E7"/>
    <w:rsid w:val="00570A65"/>
    <w:rsid w:val="0057117E"/>
    <w:rsid w:val="0057157D"/>
    <w:rsid w:val="005715E9"/>
    <w:rsid w:val="005716FA"/>
    <w:rsid w:val="005718C8"/>
    <w:rsid w:val="005719F3"/>
    <w:rsid w:val="00571A9E"/>
    <w:rsid w:val="00571B65"/>
    <w:rsid w:val="005720D5"/>
    <w:rsid w:val="005722F1"/>
    <w:rsid w:val="00572407"/>
    <w:rsid w:val="0057244B"/>
    <w:rsid w:val="0057250B"/>
    <w:rsid w:val="00572946"/>
    <w:rsid w:val="005730A8"/>
    <w:rsid w:val="00573257"/>
    <w:rsid w:val="0057335B"/>
    <w:rsid w:val="005733CA"/>
    <w:rsid w:val="0057387D"/>
    <w:rsid w:val="00573963"/>
    <w:rsid w:val="005739A7"/>
    <w:rsid w:val="00573AB2"/>
    <w:rsid w:val="00573B20"/>
    <w:rsid w:val="00573DEB"/>
    <w:rsid w:val="005746D2"/>
    <w:rsid w:val="00574A18"/>
    <w:rsid w:val="00574B4A"/>
    <w:rsid w:val="00574DE1"/>
    <w:rsid w:val="00574ED4"/>
    <w:rsid w:val="00574EED"/>
    <w:rsid w:val="00574F7C"/>
    <w:rsid w:val="0057512C"/>
    <w:rsid w:val="00575247"/>
    <w:rsid w:val="005752CC"/>
    <w:rsid w:val="005756AB"/>
    <w:rsid w:val="0057586B"/>
    <w:rsid w:val="00575A78"/>
    <w:rsid w:val="00575BE0"/>
    <w:rsid w:val="00575EF9"/>
    <w:rsid w:val="00575F38"/>
    <w:rsid w:val="00575FD3"/>
    <w:rsid w:val="0057621A"/>
    <w:rsid w:val="0057628D"/>
    <w:rsid w:val="00576327"/>
    <w:rsid w:val="00576513"/>
    <w:rsid w:val="005765C9"/>
    <w:rsid w:val="00576789"/>
    <w:rsid w:val="005770CC"/>
    <w:rsid w:val="0057766F"/>
    <w:rsid w:val="005778CE"/>
    <w:rsid w:val="0057790B"/>
    <w:rsid w:val="0057796B"/>
    <w:rsid w:val="00577B18"/>
    <w:rsid w:val="00577C62"/>
    <w:rsid w:val="00577D16"/>
    <w:rsid w:val="0058016B"/>
    <w:rsid w:val="005802F8"/>
    <w:rsid w:val="0058115C"/>
    <w:rsid w:val="0058152E"/>
    <w:rsid w:val="005819EF"/>
    <w:rsid w:val="00581B6A"/>
    <w:rsid w:val="00581DB8"/>
    <w:rsid w:val="00581E01"/>
    <w:rsid w:val="005821CA"/>
    <w:rsid w:val="005821D4"/>
    <w:rsid w:val="005822B1"/>
    <w:rsid w:val="0058272A"/>
    <w:rsid w:val="005827F3"/>
    <w:rsid w:val="005828F2"/>
    <w:rsid w:val="005829EC"/>
    <w:rsid w:val="00582A73"/>
    <w:rsid w:val="00582AD4"/>
    <w:rsid w:val="00582AF7"/>
    <w:rsid w:val="00582BC8"/>
    <w:rsid w:val="00582C00"/>
    <w:rsid w:val="00582EA0"/>
    <w:rsid w:val="00583050"/>
    <w:rsid w:val="0058308F"/>
    <w:rsid w:val="0058327C"/>
    <w:rsid w:val="00583532"/>
    <w:rsid w:val="005836EF"/>
    <w:rsid w:val="00583847"/>
    <w:rsid w:val="005838D0"/>
    <w:rsid w:val="00583A5F"/>
    <w:rsid w:val="00583E33"/>
    <w:rsid w:val="00583E60"/>
    <w:rsid w:val="00583FE7"/>
    <w:rsid w:val="0058432B"/>
    <w:rsid w:val="005846A5"/>
    <w:rsid w:val="0058491A"/>
    <w:rsid w:val="00584938"/>
    <w:rsid w:val="00584D74"/>
    <w:rsid w:val="005859F5"/>
    <w:rsid w:val="00585A2A"/>
    <w:rsid w:val="00585BA6"/>
    <w:rsid w:val="00585C3E"/>
    <w:rsid w:val="00585C88"/>
    <w:rsid w:val="00585D08"/>
    <w:rsid w:val="00585E28"/>
    <w:rsid w:val="00585FAC"/>
    <w:rsid w:val="005868E9"/>
    <w:rsid w:val="00586979"/>
    <w:rsid w:val="00586A3B"/>
    <w:rsid w:val="00586D5B"/>
    <w:rsid w:val="005871CB"/>
    <w:rsid w:val="005874F6"/>
    <w:rsid w:val="005877FE"/>
    <w:rsid w:val="00587BA4"/>
    <w:rsid w:val="0059008E"/>
    <w:rsid w:val="00590709"/>
    <w:rsid w:val="005908BD"/>
    <w:rsid w:val="005909FB"/>
    <w:rsid w:val="00590C94"/>
    <w:rsid w:val="005914D6"/>
    <w:rsid w:val="00591B72"/>
    <w:rsid w:val="00591BC6"/>
    <w:rsid w:val="00591C6D"/>
    <w:rsid w:val="00591E80"/>
    <w:rsid w:val="00592007"/>
    <w:rsid w:val="005922B0"/>
    <w:rsid w:val="00592319"/>
    <w:rsid w:val="0059249C"/>
    <w:rsid w:val="005925DB"/>
    <w:rsid w:val="0059270F"/>
    <w:rsid w:val="00592B01"/>
    <w:rsid w:val="0059338B"/>
    <w:rsid w:val="00593405"/>
    <w:rsid w:val="00593560"/>
    <w:rsid w:val="005943A2"/>
    <w:rsid w:val="00594490"/>
    <w:rsid w:val="00594911"/>
    <w:rsid w:val="00594CE0"/>
    <w:rsid w:val="00594EA4"/>
    <w:rsid w:val="00594EDF"/>
    <w:rsid w:val="00595007"/>
    <w:rsid w:val="00595819"/>
    <w:rsid w:val="0059593B"/>
    <w:rsid w:val="00595A28"/>
    <w:rsid w:val="00595A8F"/>
    <w:rsid w:val="00595D54"/>
    <w:rsid w:val="00595E17"/>
    <w:rsid w:val="00596184"/>
    <w:rsid w:val="00596382"/>
    <w:rsid w:val="005963AD"/>
    <w:rsid w:val="005963DE"/>
    <w:rsid w:val="00596580"/>
    <w:rsid w:val="005965A6"/>
    <w:rsid w:val="005968A0"/>
    <w:rsid w:val="0059694E"/>
    <w:rsid w:val="00596AE2"/>
    <w:rsid w:val="00596B27"/>
    <w:rsid w:val="00596C8F"/>
    <w:rsid w:val="00596D23"/>
    <w:rsid w:val="00596E8B"/>
    <w:rsid w:val="005974D7"/>
    <w:rsid w:val="005978EF"/>
    <w:rsid w:val="00597A9E"/>
    <w:rsid w:val="00597FC5"/>
    <w:rsid w:val="005A0940"/>
    <w:rsid w:val="005A0E8F"/>
    <w:rsid w:val="005A0F13"/>
    <w:rsid w:val="005A10F1"/>
    <w:rsid w:val="005A1273"/>
    <w:rsid w:val="005A134F"/>
    <w:rsid w:val="005A14E0"/>
    <w:rsid w:val="005A1655"/>
    <w:rsid w:val="005A1822"/>
    <w:rsid w:val="005A1A70"/>
    <w:rsid w:val="005A1B78"/>
    <w:rsid w:val="005A1CE0"/>
    <w:rsid w:val="005A2A3B"/>
    <w:rsid w:val="005A2A9E"/>
    <w:rsid w:val="005A3179"/>
    <w:rsid w:val="005A31DC"/>
    <w:rsid w:val="005A3293"/>
    <w:rsid w:val="005A3739"/>
    <w:rsid w:val="005A3778"/>
    <w:rsid w:val="005A3ACF"/>
    <w:rsid w:val="005A3FD5"/>
    <w:rsid w:val="005A42D6"/>
    <w:rsid w:val="005A4876"/>
    <w:rsid w:val="005A4BDD"/>
    <w:rsid w:val="005A4DB9"/>
    <w:rsid w:val="005A5067"/>
    <w:rsid w:val="005A5133"/>
    <w:rsid w:val="005A51A5"/>
    <w:rsid w:val="005A532B"/>
    <w:rsid w:val="005A547A"/>
    <w:rsid w:val="005A5482"/>
    <w:rsid w:val="005A5715"/>
    <w:rsid w:val="005A5752"/>
    <w:rsid w:val="005A5BFA"/>
    <w:rsid w:val="005A5D56"/>
    <w:rsid w:val="005A5DEE"/>
    <w:rsid w:val="005A6ADB"/>
    <w:rsid w:val="005A6D4F"/>
    <w:rsid w:val="005A6EF0"/>
    <w:rsid w:val="005A70EB"/>
    <w:rsid w:val="005A7415"/>
    <w:rsid w:val="005A7622"/>
    <w:rsid w:val="005A766D"/>
    <w:rsid w:val="005A7A46"/>
    <w:rsid w:val="005A7FBE"/>
    <w:rsid w:val="005A7FF2"/>
    <w:rsid w:val="005B0008"/>
    <w:rsid w:val="005B0630"/>
    <w:rsid w:val="005B06A6"/>
    <w:rsid w:val="005B08D8"/>
    <w:rsid w:val="005B0A55"/>
    <w:rsid w:val="005B0ABF"/>
    <w:rsid w:val="005B10E4"/>
    <w:rsid w:val="005B1134"/>
    <w:rsid w:val="005B1472"/>
    <w:rsid w:val="005B16D0"/>
    <w:rsid w:val="005B1811"/>
    <w:rsid w:val="005B1986"/>
    <w:rsid w:val="005B23C3"/>
    <w:rsid w:val="005B2A00"/>
    <w:rsid w:val="005B2B9E"/>
    <w:rsid w:val="005B2CEC"/>
    <w:rsid w:val="005B2D9E"/>
    <w:rsid w:val="005B3092"/>
    <w:rsid w:val="005B3495"/>
    <w:rsid w:val="005B3C21"/>
    <w:rsid w:val="005B3DE2"/>
    <w:rsid w:val="005B3E36"/>
    <w:rsid w:val="005B4005"/>
    <w:rsid w:val="005B4150"/>
    <w:rsid w:val="005B4332"/>
    <w:rsid w:val="005B45AC"/>
    <w:rsid w:val="005B486A"/>
    <w:rsid w:val="005B4F12"/>
    <w:rsid w:val="005B5049"/>
    <w:rsid w:val="005B5262"/>
    <w:rsid w:val="005B5FD7"/>
    <w:rsid w:val="005B60E6"/>
    <w:rsid w:val="005B6390"/>
    <w:rsid w:val="005B6403"/>
    <w:rsid w:val="005B6464"/>
    <w:rsid w:val="005B6644"/>
    <w:rsid w:val="005B67AA"/>
    <w:rsid w:val="005B6985"/>
    <w:rsid w:val="005B6D02"/>
    <w:rsid w:val="005B6E67"/>
    <w:rsid w:val="005B7064"/>
    <w:rsid w:val="005B73B1"/>
    <w:rsid w:val="005B78D4"/>
    <w:rsid w:val="005B79FF"/>
    <w:rsid w:val="005B7D43"/>
    <w:rsid w:val="005C00E2"/>
    <w:rsid w:val="005C0220"/>
    <w:rsid w:val="005C084B"/>
    <w:rsid w:val="005C0A29"/>
    <w:rsid w:val="005C0BFC"/>
    <w:rsid w:val="005C0DD2"/>
    <w:rsid w:val="005C0EF4"/>
    <w:rsid w:val="005C0F00"/>
    <w:rsid w:val="005C1031"/>
    <w:rsid w:val="005C1178"/>
    <w:rsid w:val="005C1548"/>
    <w:rsid w:val="005C1691"/>
    <w:rsid w:val="005C1866"/>
    <w:rsid w:val="005C1B4B"/>
    <w:rsid w:val="005C1BAD"/>
    <w:rsid w:val="005C1E3B"/>
    <w:rsid w:val="005C2092"/>
    <w:rsid w:val="005C22E7"/>
    <w:rsid w:val="005C2731"/>
    <w:rsid w:val="005C28F1"/>
    <w:rsid w:val="005C2912"/>
    <w:rsid w:val="005C2A7D"/>
    <w:rsid w:val="005C2B08"/>
    <w:rsid w:val="005C2E9F"/>
    <w:rsid w:val="005C2EB2"/>
    <w:rsid w:val="005C302A"/>
    <w:rsid w:val="005C3423"/>
    <w:rsid w:val="005C3525"/>
    <w:rsid w:val="005C358C"/>
    <w:rsid w:val="005C38F3"/>
    <w:rsid w:val="005C3C81"/>
    <w:rsid w:val="005C3D03"/>
    <w:rsid w:val="005C3E9D"/>
    <w:rsid w:val="005C3F40"/>
    <w:rsid w:val="005C4276"/>
    <w:rsid w:val="005C4382"/>
    <w:rsid w:val="005C4417"/>
    <w:rsid w:val="005C4936"/>
    <w:rsid w:val="005C4BF8"/>
    <w:rsid w:val="005C4C82"/>
    <w:rsid w:val="005C4CB2"/>
    <w:rsid w:val="005C4DEC"/>
    <w:rsid w:val="005C5030"/>
    <w:rsid w:val="005C5678"/>
    <w:rsid w:val="005C572A"/>
    <w:rsid w:val="005C5794"/>
    <w:rsid w:val="005C5989"/>
    <w:rsid w:val="005C59CC"/>
    <w:rsid w:val="005C5CDC"/>
    <w:rsid w:val="005C5D8F"/>
    <w:rsid w:val="005C624E"/>
    <w:rsid w:val="005C632A"/>
    <w:rsid w:val="005C65F7"/>
    <w:rsid w:val="005C6763"/>
    <w:rsid w:val="005C6A2C"/>
    <w:rsid w:val="005C6AD6"/>
    <w:rsid w:val="005C6E7F"/>
    <w:rsid w:val="005C6F4B"/>
    <w:rsid w:val="005C6F5D"/>
    <w:rsid w:val="005C72AF"/>
    <w:rsid w:val="005C75D9"/>
    <w:rsid w:val="005C78A5"/>
    <w:rsid w:val="005C7A27"/>
    <w:rsid w:val="005C7B14"/>
    <w:rsid w:val="005C7B43"/>
    <w:rsid w:val="005C7CBA"/>
    <w:rsid w:val="005D0301"/>
    <w:rsid w:val="005D0426"/>
    <w:rsid w:val="005D094B"/>
    <w:rsid w:val="005D09E0"/>
    <w:rsid w:val="005D0A15"/>
    <w:rsid w:val="005D0BDC"/>
    <w:rsid w:val="005D0FFC"/>
    <w:rsid w:val="005D123E"/>
    <w:rsid w:val="005D1398"/>
    <w:rsid w:val="005D176C"/>
    <w:rsid w:val="005D186F"/>
    <w:rsid w:val="005D1E2D"/>
    <w:rsid w:val="005D228F"/>
    <w:rsid w:val="005D2618"/>
    <w:rsid w:val="005D2767"/>
    <w:rsid w:val="005D2D10"/>
    <w:rsid w:val="005D2D37"/>
    <w:rsid w:val="005D2F6E"/>
    <w:rsid w:val="005D2FEE"/>
    <w:rsid w:val="005D350E"/>
    <w:rsid w:val="005D3538"/>
    <w:rsid w:val="005D3574"/>
    <w:rsid w:val="005D372B"/>
    <w:rsid w:val="005D37B5"/>
    <w:rsid w:val="005D3E70"/>
    <w:rsid w:val="005D3FAF"/>
    <w:rsid w:val="005D4076"/>
    <w:rsid w:val="005D421A"/>
    <w:rsid w:val="005D42A8"/>
    <w:rsid w:val="005D43BB"/>
    <w:rsid w:val="005D43EA"/>
    <w:rsid w:val="005D463E"/>
    <w:rsid w:val="005D4840"/>
    <w:rsid w:val="005D497E"/>
    <w:rsid w:val="005D4C71"/>
    <w:rsid w:val="005D4C7A"/>
    <w:rsid w:val="005D4E19"/>
    <w:rsid w:val="005D505A"/>
    <w:rsid w:val="005D5628"/>
    <w:rsid w:val="005D5723"/>
    <w:rsid w:val="005D57A7"/>
    <w:rsid w:val="005D57F8"/>
    <w:rsid w:val="005D5BD1"/>
    <w:rsid w:val="005D5FCC"/>
    <w:rsid w:val="005D6085"/>
    <w:rsid w:val="005D60B8"/>
    <w:rsid w:val="005D61F3"/>
    <w:rsid w:val="005D62FF"/>
    <w:rsid w:val="005D64AE"/>
    <w:rsid w:val="005D66B5"/>
    <w:rsid w:val="005D66B7"/>
    <w:rsid w:val="005D6845"/>
    <w:rsid w:val="005D6901"/>
    <w:rsid w:val="005D69CD"/>
    <w:rsid w:val="005D6B9A"/>
    <w:rsid w:val="005D6DCD"/>
    <w:rsid w:val="005D742A"/>
    <w:rsid w:val="005D744F"/>
    <w:rsid w:val="005D768F"/>
    <w:rsid w:val="005D76B8"/>
    <w:rsid w:val="005D7813"/>
    <w:rsid w:val="005D7AA9"/>
    <w:rsid w:val="005D7B40"/>
    <w:rsid w:val="005D7B72"/>
    <w:rsid w:val="005D7C37"/>
    <w:rsid w:val="005D7D49"/>
    <w:rsid w:val="005D7E78"/>
    <w:rsid w:val="005E00FD"/>
    <w:rsid w:val="005E02EB"/>
    <w:rsid w:val="005E0802"/>
    <w:rsid w:val="005E0939"/>
    <w:rsid w:val="005E0A10"/>
    <w:rsid w:val="005E0BF2"/>
    <w:rsid w:val="005E0C4E"/>
    <w:rsid w:val="005E0F98"/>
    <w:rsid w:val="005E10AA"/>
    <w:rsid w:val="005E10E7"/>
    <w:rsid w:val="005E13D0"/>
    <w:rsid w:val="005E148F"/>
    <w:rsid w:val="005E1593"/>
    <w:rsid w:val="005E15F6"/>
    <w:rsid w:val="005E1615"/>
    <w:rsid w:val="005E175A"/>
    <w:rsid w:val="005E19C4"/>
    <w:rsid w:val="005E19C6"/>
    <w:rsid w:val="005E1A41"/>
    <w:rsid w:val="005E1D98"/>
    <w:rsid w:val="005E1EED"/>
    <w:rsid w:val="005E1F79"/>
    <w:rsid w:val="005E20C3"/>
    <w:rsid w:val="005E2157"/>
    <w:rsid w:val="005E234E"/>
    <w:rsid w:val="005E2430"/>
    <w:rsid w:val="005E2610"/>
    <w:rsid w:val="005E266F"/>
    <w:rsid w:val="005E2936"/>
    <w:rsid w:val="005E2A1F"/>
    <w:rsid w:val="005E2D61"/>
    <w:rsid w:val="005E3011"/>
    <w:rsid w:val="005E342A"/>
    <w:rsid w:val="005E35E6"/>
    <w:rsid w:val="005E3709"/>
    <w:rsid w:val="005E3813"/>
    <w:rsid w:val="005E3A85"/>
    <w:rsid w:val="005E3D32"/>
    <w:rsid w:val="005E3E55"/>
    <w:rsid w:val="005E4438"/>
    <w:rsid w:val="005E463F"/>
    <w:rsid w:val="005E4AF8"/>
    <w:rsid w:val="005E4EFA"/>
    <w:rsid w:val="005E4F5C"/>
    <w:rsid w:val="005E529B"/>
    <w:rsid w:val="005E5306"/>
    <w:rsid w:val="005E55CA"/>
    <w:rsid w:val="005E5655"/>
    <w:rsid w:val="005E5809"/>
    <w:rsid w:val="005E581E"/>
    <w:rsid w:val="005E5B5D"/>
    <w:rsid w:val="005E61F5"/>
    <w:rsid w:val="005E6AD9"/>
    <w:rsid w:val="005E6B4E"/>
    <w:rsid w:val="005E764A"/>
    <w:rsid w:val="005E77CD"/>
    <w:rsid w:val="005E79D1"/>
    <w:rsid w:val="005E7BBD"/>
    <w:rsid w:val="005E7ECE"/>
    <w:rsid w:val="005E7F6D"/>
    <w:rsid w:val="005F03DF"/>
    <w:rsid w:val="005F0444"/>
    <w:rsid w:val="005F04D1"/>
    <w:rsid w:val="005F0D4F"/>
    <w:rsid w:val="005F0D79"/>
    <w:rsid w:val="005F0DBD"/>
    <w:rsid w:val="005F1217"/>
    <w:rsid w:val="005F1E32"/>
    <w:rsid w:val="005F213A"/>
    <w:rsid w:val="005F22E9"/>
    <w:rsid w:val="005F244B"/>
    <w:rsid w:val="005F25E8"/>
    <w:rsid w:val="005F2A95"/>
    <w:rsid w:val="005F2C1D"/>
    <w:rsid w:val="005F32ED"/>
    <w:rsid w:val="005F3533"/>
    <w:rsid w:val="005F3784"/>
    <w:rsid w:val="005F37C0"/>
    <w:rsid w:val="005F3BC1"/>
    <w:rsid w:val="005F3C48"/>
    <w:rsid w:val="005F3C7D"/>
    <w:rsid w:val="005F3D0B"/>
    <w:rsid w:val="005F3DA2"/>
    <w:rsid w:val="005F3E91"/>
    <w:rsid w:val="005F400E"/>
    <w:rsid w:val="005F426A"/>
    <w:rsid w:val="005F46B5"/>
    <w:rsid w:val="005F46CB"/>
    <w:rsid w:val="005F4757"/>
    <w:rsid w:val="005F47A4"/>
    <w:rsid w:val="005F4D66"/>
    <w:rsid w:val="005F543C"/>
    <w:rsid w:val="005F57B1"/>
    <w:rsid w:val="005F58BD"/>
    <w:rsid w:val="005F59FF"/>
    <w:rsid w:val="005F5A32"/>
    <w:rsid w:val="005F5B61"/>
    <w:rsid w:val="005F606D"/>
    <w:rsid w:val="005F6476"/>
    <w:rsid w:val="005F64B5"/>
    <w:rsid w:val="005F65DC"/>
    <w:rsid w:val="005F6763"/>
    <w:rsid w:val="005F680A"/>
    <w:rsid w:val="005F6C1C"/>
    <w:rsid w:val="005F6CCF"/>
    <w:rsid w:val="005F6E50"/>
    <w:rsid w:val="005F6F8B"/>
    <w:rsid w:val="005F6FA9"/>
    <w:rsid w:val="005F7311"/>
    <w:rsid w:val="005F75A4"/>
    <w:rsid w:val="005F76C3"/>
    <w:rsid w:val="005F7AAD"/>
    <w:rsid w:val="005F7C11"/>
    <w:rsid w:val="005F7C4A"/>
    <w:rsid w:val="005F7E15"/>
    <w:rsid w:val="0060005C"/>
    <w:rsid w:val="006000E7"/>
    <w:rsid w:val="0060029D"/>
    <w:rsid w:val="0060033F"/>
    <w:rsid w:val="006003E3"/>
    <w:rsid w:val="006004E6"/>
    <w:rsid w:val="00600516"/>
    <w:rsid w:val="006006A1"/>
    <w:rsid w:val="006008CF"/>
    <w:rsid w:val="00600942"/>
    <w:rsid w:val="00600945"/>
    <w:rsid w:val="00600A8A"/>
    <w:rsid w:val="00600D08"/>
    <w:rsid w:val="00601045"/>
    <w:rsid w:val="00601274"/>
    <w:rsid w:val="0060156E"/>
    <w:rsid w:val="00601931"/>
    <w:rsid w:val="00601AFE"/>
    <w:rsid w:val="006020B3"/>
    <w:rsid w:val="0060226A"/>
    <w:rsid w:val="006023B2"/>
    <w:rsid w:val="0060252B"/>
    <w:rsid w:val="006026F2"/>
    <w:rsid w:val="00602AD5"/>
    <w:rsid w:val="00602F11"/>
    <w:rsid w:val="00602FD0"/>
    <w:rsid w:val="00603149"/>
    <w:rsid w:val="006032B6"/>
    <w:rsid w:val="00603392"/>
    <w:rsid w:val="006037F6"/>
    <w:rsid w:val="00603874"/>
    <w:rsid w:val="00603974"/>
    <w:rsid w:val="00603B77"/>
    <w:rsid w:val="00603C09"/>
    <w:rsid w:val="00603C90"/>
    <w:rsid w:val="00603D74"/>
    <w:rsid w:val="00603EE7"/>
    <w:rsid w:val="00603EF3"/>
    <w:rsid w:val="0060416A"/>
    <w:rsid w:val="0060421F"/>
    <w:rsid w:val="0060430F"/>
    <w:rsid w:val="0060431F"/>
    <w:rsid w:val="00604480"/>
    <w:rsid w:val="00604528"/>
    <w:rsid w:val="0060453F"/>
    <w:rsid w:val="00604684"/>
    <w:rsid w:val="006046DC"/>
    <w:rsid w:val="0060477D"/>
    <w:rsid w:val="006047FF"/>
    <w:rsid w:val="00604B18"/>
    <w:rsid w:val="00604C52"/>
    <w:rsid w:val="00604D8B"/>
    <w:rsid w:val="00604DBC"/>
    <w:rsid w:val="00604E19"/>
    <w:rsid w:val="00604F02"/>
    <w:rsid w:val="006050D2"/>
    <w:rsid w:val="00605164"/>
    <w:rsid w:val="00605183"/>
    <w:rsid w:val="0060528E"/>
    <w:rsid w:val="006053E8"/>
    <w:rsid w:val="0060541E"/>
    <w:rsid w:val="006056B2"/>
    <w:rsid w:val="00605778"/>
    <w:rsid w:val="006058B5"/>
    <w:rsid w:val="00605A29"/>
    <w:rsid w:val="00605A5D"/>
    <w:rsid w:val="00605C3E"/>
    <w:rsid w:val="00605E25"/>
    <w:rsid w:val="00605F03"/>
    <w:rsid w:val="006060F1"/>
    <w:rsid w:val="00606121"/>
    <w:rsid w:val="00606285"/>
    <w:rsid w:val="006063E1"/>
    <w:rsid w:val="006065DE"/>
    <w:rsid w:val="00606C8F"/>
    <w:rsid w:val="00606FD6"/>
    <w:rsid w:val="006070CB"/>
    <w:rsid w:val="006072CB"/>
    <w:rsid w:val="00607344"/>
    <w:rsid w:val="00607463"/>
    <w:rsid w:val="006074B6"/>
    <w:rsid w:val="006077D0"/>
    <w:rsid w:val="006078A7"/>
    <w:rsid w:val="00607A9F"/>
    <w:rsid w:val="00607DA5"/>
    <w:rsid w:val="00607F71"/>
    <w:rsid w:val="006088B9"/>
    <w:rsid w:val="006100CC"/>
    <w:rsid w:val="00610F8F"/>
    <w:rsid w:val="00610FAF"/>
    <w:rsid w:val="0061103A"/>
    <w:rsid w:val="00611403"/>
    <w:rsid w:val="006118E7"/>
    <w:rsid w:val="0061197F"/>
    <w:rsid w:val="00611991"/>
    <w:rsid w:val="00611AD7"/>
    <w:rsid w:val="00611B3F"/>
    <w:rsid w:val="00611CE2"/>
    <w:rsid w:val="00612588"/>
    <w:rsid w:val="006127A8"/>
    <w:rsid w:val="00612954"/>
    <w:rsid w:val="00612A14"/>
    <w:rsid w:val="006135EB"/>
    <w:rsid w:val="00613CAF"/>
    <w:rsid w:val="00613DA2"/>
    <w:rsid w:val="0061405F"/>
    <w:rsid w:val="006140A4"/>
    <w:rsid w:val="006140EE"/>
    <w:rsid w:val="00614188"/>
    <w:rsid w:val="00614376"/>
    <w:rsid w:val="0061451E"/>
    <w:rsid w:val="006145D9"/>
    <w:rsid w:val="0061468F"/>
    <w:rsid w:val="00614CF7"/>
    <w:rsid w:val="0061506D"/>
    <w:rsid w:val="006151CF"/>
    <w:rsid w:val="006153CE"/>
    <w:rsid w:val="00615567"/>
    <w:rsid w:val="00615868"/>
    <w:rsid w:val="00615B70"/>
    <w:rsid w:val="00615BD8"/>
    <w:rsid w:val="00615C29"/>
    <w:rsid w:val="00615C7D"/>
    <w:rsid w:val="00615F52"/>
    <w:rsid w:val="0061619D"/>
    <w:rsid w:val="0061642D"/>
    <w:rsid w:val="006164CB"/>
    <w:rsid w:val="0061685E"/>
    <w:rsid w:val="0061691D"/>
    <w:rsid w:val="00616B98"/>
    <w:rsid w:val="00616E35"/>
    <w:rsid w:val="006172F1"/>
    <w:rsid w:val="00617356"/>
    <w:rsid w:val="00617B79"/>
    <w:rsid w:val="00617CA5"/>
    <w:rsid w:val="00617FC7"/>
    <w:rsid w:val="00620191"/>
    <w:rsid w:val="00620383"/>
    <w:rsid w:val="00620551"/>
    <w:rsid w:val="006208F7"/>
    <w:rsid w:val="00620986"/>
    <w:rsid w:val="00620C00"/>
    <w:rsid w:val="00620E80"/>
    <w:rsid w:val="0062117C"/>
    <w:rsid w:val="00621501"/>
    <w:rsid w:val="00621523"/>
    <w:rsid w:val="00621AF6"/>
    <w:rsid w:val="00621B06"/>
    <w:rsid w:val="00621DA3"/>
    <w:rsid w:val="00621F05"/>
    <w:rsid w:val="0062259C"/>
    <w:rsid w:val="006226A8"/>
    <w:rsid w:val="00622D18"/>
    <w:rsid w:val="00622E67"/>
    <w:rsid w:val="00622EB2"/>
    <w:rsid w:val="00622F71"/>
    <w:rsid w:val="00623462"/>
    <w:rsid w:val="00623709"/>
    <w:rsid w:val="00623721"/>
    <w:rsid w:val="00623CE2"/>
    <w:rsid w:val="006240D7"/>
    <w:rsid w:val="00624222"/>
    <w:rsid w:val="0062432D"/>
    <w:rsid w:val="006244FD"/>
    <w:rsid w:val="0062451E"/>
    <w:rsid w:val="00624826"/>
    <w:rsid w:val="00624873"/>
    <w:rsid w:val="00624988"/>
    <w:rsid w:val="006249BF"/>
    <w:rsid w:val="00624CC5"/>
    <w:rsid w:val="00624DFC"/>
    <w:rsid w:val="00624E85"/>
    <w:rsid w:val="00624FD3"/>
    <w:rsid w:val="00625501"/>
    <w:rsid w:val="006255FA"/>
    <w:rsid w:val="00625720"/>
    <w:rsid w:val="0062576E"/>
    <w:rsid w:val="006257ED"/>
    <w:rsid w:val="006257F2"/>
    <w:rsid w:val="006258D3"/>
    <w:rsid w:val="00625C22"/>
    <w:rsid w:val="00625C9B"/>
    <w:rsid w:val="00625CBF"/>
    <w:rsid w:val="00625DFB"/>
    <w:rsid w:val="006260FA"/>
    <w:rsid w:val="0062611C"/>
    <w:rsid w:val="00626347"/>
    <w:rsid w:val="006269C5"/>
    <w:rsid w:val="00626E1C"/>
    <w:rsid w:val="006270E5"/>
    <w:rsid w:val="00627214"/>
    <w:rsid w:val="00627241"/>
    <w:rsid w:val="0062724E"/>
    <w:rsid w:val="006279AA"/>
    <w:rsid w:val="0063008A"/>
    <w:rsid w:val="0063051C"/>
    <w:rsid w:val="006308A8"/>
    <w:rsid w:val="0063090A"/>
    <w:rsid w:val="00630E80"/>
    <w:rsid w:val="00630EC2"/>
    <w:rsid w:val="00630FFE"/>
    <w:rsid w:val="006310AB"/>
    <w:rsid w:val="00631219"/>
    <w:rsid w:val="00631267"/>
    <w:rsid w:val="006318D7"/>
    <w:rsid w:val="00631A60"/>
    <w:rsid w:val="00631BA3"/>
    <w:rsid w:val="00631E74"/>
    <w:rsid w:val="0063252B"/>
    <w:rsid w:val="00632AE5"/>
    <w:rsid w:val="00632CD6"/>
    <w:rsid w:val="00632D21"/>
    <w:rsid w:val="0063304C"/>
    <w:rsid w:val="006333B8"/>
    <w:rsid w:val="00633573"/>
    <w:rsid w:val="00633C4B"/>
    <w:rsid w:val="00633C75"/>
    <w:rsid w:val="00633D4E"/>
    <w:rsid w:val="00633E4E"/>
    <w:rsid w:val="00633EC6"/>
    <w:rsid w:val="00633FB3"/>
    <w:rsid w:val="00633FBD"/>
    <w:rsid w:val="00633FF7"/>
    <w:rsid w:val="0063436E"/>
    <w:rsid w:val="00634607"/>
    <w:rsid w:val="00634821"/>
    <w:rsid w:val="00634902"/>
    <w:rsid w:val="00634AC7"/>
    <w:rsid w:val="00634B8F"/>
    <w:rsid w:val="00634D3B"/>
    <w:rsid w:val="00634E03"/>
    <w:rsid w:val="00634E39"/>
    <w:rsid w:val="00634FA8"/>
    <w:rsid w:val="0063506A"/>
    <w:rsid w:val="00635AB1"/>
    <w:rsid w:val="00635BDF"/>
    <w:rsid w:val="0063640D"/>
    <w:rsid w:val="0063651D"/>
    <w:rsid w:val="0063652A"/>
    <w:rsid w:val="00636A9E"/>
    <w:rsid w:val="00636B23"/>
    <w:rsid w:val="00636CC1"/>
    <w:rsid w:val="00636EC3"/>
    <w:rsid w:val="00637101"/>
    <w:rsid w:val="006374A9"/>
    <w:rsid w:val="00637535"/>
    <w:rsid w:val="00637574"/>
    <w:rsid w:val="0063766D"/>
    <w:rsid w:val="00637C4D"/>
    <w:rsid w:val="00637DA0"/>
    <w:rsid w:val="00640082"/>
    <w:rsid w:val="00640246"/>
    <w:rsid w:val="006403F5"/>
    <w:rsid w:val="006405DF"/>
    <w:rsid w:val="0064075D"/>
    <w:rsid w:val="00640937"/>
    <w:rsid w:val="00641069"/>
    <w:rsid w:val="00641175"/>
    <w:rsid w:val="006411A9"/>
    <w:rsid w:val="0064199F"/>
    <w:rsid w:val="00641A1A"/>
    <w:rsid w:val="00642066"/>
    <w:rsid w:val="0064215F"/>
    <w:rsid w:val="0064224A"/>
    <w:rsid w:val="00642808"/>
    <w:rsid w:val="00642951"/>
    <w:rsid w:val="00642D28"/>
    <w:rsid w:val="00642E63"/>
    <w:rsid w:val="006430FE"/>
    <w:rsid w:val="00643316"/>
    <w:rsid w:val="006435AF"/>
    <w:rsid w:val="0064376F"/>
    <w:rsid w:val="0064397B"/>
    <w:rsid w:val="00644002"/>
    <w:rsid w:val="00644218"/>
    <w:rsid w:val="00644410"/>
    <w:rsid w:val="0064469C"/>
    <w:rsid w:val="00644826"/>
    <w:rsid w:val="00644F16"/>
    <w:rsid w:val="00645250"/>
    <w:rsid w:val="00645473"/>
    <w:rsid w:val="00645F5F"/>
    <w:rsid w:val="006465A7"/>
    <w:rsid w:val="00646C84"/>
    <w:rsid w:val="00646CBB"/>
    <w:rsid w:val="00646F73"/>
    <w:rsid w:val="00646F92"/>
    <w:rsid w:val="0064740B"/>
    <w:rsid w:val="00647567"/>
    <w:rsid w:val="006479C7"/>
    <w:rsid w:val="00647AF5"/>
    <w:rsid w:val="00647BCC"/>
    <w:rsid w:val="00647CE7"/>
    <w:rsid w:val="00647D06"/>
    <w:rsid w:val="00647EEA"/>
    <w:rsid w:val="00650020"/>
    <w:rsid w:val="0065040B"/>
    <w:rsid w:val="00650896"/>
    <w:rsid w:val="00650B05"/>
    <w:rsid w:val="0065131A"/>
    <w:rsid w:val="006517CE"/>
    <w:rsid w:val="0065191F"/>
    <w:rsid w:val="00651A36"/>
    <w:rsid w:val="0065214E"/>
    <w:rsid w:val="0065236A"/>
    <w:rsid w:val="006526A3"/>
    <w:rsid w:val="00652A69"/>
    <w:rsid w:val="00652C95"/>
    <w:rsid w:val="00652D13"/>
    <w:rsid w:val="00652D4B"/>
    <w:rsid w:val="00653094"/>
    <w:rsid w:val="006530A9"/>
    <w:rsid w:val="006531A6"/>
    <w:rsid w:val="00653423"/>
    <w:rsid w:val="0065368E"/>
    <w:rsid w:val="00653690"/>
    <w:rsid w:val="006536EA"/>
    <w:rsid w:val="0065377C"/>
    <w:rsid w:val="00653C63"/>
    <w:rsid w:val="00653DE1"/>
    <w:rsid w:val="00653F1B"/>
    <w:rsid w:val="006540BD"/>
    <w:rsid w:val="00654466"/>
    <w:rsid w:val="00654557"/>
    <w:rsid w:val="006549C8"/>
    <w:rsid w:val="00654A90"/>
    <w:rsid w:val="00654BAA"/>
    <w:rsid w:val="00654BC6"/>
    <w:rsid w:val="00654C73"/>
    <w:rsid w:val="00654DFD"/>
    <w:rsid w:val="00654F93"/>
    <w:rsid w:val="006551B5"/>
    <w:rsid w:val="00655B93"/>
    <w:rsid w:val="00655D6F"/>
    <w:rsid w:val="00656034"/>
    <w:rsid w:val="00656316"/>
    <w:rsid w:val="00656423"/>
    <w:rsid w:val="00656F94"/>
    <w:rsid w:val="0065709B"/>
    <w:rsid w:val="0065714D"/>
    <w:rsid w:val="006572BC"/>
    <w:rsid w:val="006579CB"/>
    <w:rsid w:val="00657E6A"/>
    <w:rsid w:val="006604BD"/>
    <w:rsid w:val="006605DD"/>
    <w:rsid w:val="006606B5"/>
    <w:rsid w:val="0066086B"/>
    <w:rsid w:val="006608C7"/>
    <w:rsid w:val="006612D9"/>
    <w:rsid w:val="0066144E"/>
    <w:rsid w:val="00661702"/>
    <w:rsid w:val="0066188C"/>
    <w:rsid w:val="00661B09"/>
    <w:rsid w:val="00661E81"/>
    <w:rsid w:val="00662069"/>
    <w:rsid w:val="006620CC"/>
    <w:rsid w:val="0066245B"/>
    <w:rsid w:val="00662476"/>
    <w:rsid w:val="00662735"/>
    <w:rsid w:val="006628F7"/>
    <w:rsid w:val="00662ADF"/>
    <w:rsid w:val="00662AE9"/>
    <w:rsid w:val="00662B98"/>
    <w:rsid w:val="0066319A"/>
    <w:rsid w:val="0066324D"/>
    <w:rsid w:val="00663285"/>
    <w:rsid w:val="006632C8"/>
    <w:rsid w:val="0066340B"/>
    <w:rsid w:val="0066388D"/>
    <w:rsid w:val="006638D3"/>
    <w:rsid w:val="006639F2"/>
    <w:rsid w:val="00663A66"/>
    <w:rsid w:val="00663B22"/>
    <w:rsid w:val="00663BA6"/>
    <w:rsid w:val="00663BC5"/>
    <w:rsid w:val="00663D04"/>
    <w:rsid w:val="00663D53"/>
    <w:rsid w:val="00663ED7"/>
    <w:rsid w:val="00664122"/>
    <w:rsid w:val="006641CC"/>
    <w:rsid w:val="0066422A"/>
    <w:rsid w:val="00664641"/>
    <w:rsid w:val="00664811"/>
    <w:rsid w:val="00664B41"/>
    <w:rsid w:val="006650F0"/>
    <w:rsid w:val="0066525C"/>
    <w:rsid w:val="006653C8"/>
    <w:rsid w:val="006654F5"/>
    <w:rsid w:val="0066551F"/>
    <w:rsid w:val="00665587"/>
    <w:rsid w:val="00665662"/>
    <w:rsid w:val="006656A0"/>
    <w:rsid w:val="006658BE"/>
    <w:rsid w:val="006658D7"/>
    <w:rsid w:val="0066594C"/>
    <w:rsid w:val="006659C2"/>
    <w:rsid w:val="00665B69"/>
    <w:rsid w:val="00665DE1"/>
    <w:rsid w:val="0066613B"/>
    <w:rsid w:val="006661EF"/>
    <w:rsid w:val="0066626E"/>
    <w:rsid w:val="006665F5"/>
    <w:rsid w:val="0066685D"/>
    <w:rsid w:val="00666933"/>
    <w:rsid w:val="00666AEC"/>
    <w:rsid w:val="00666C34"/>
    <w:rsid w:val="00666C9B"/>
    <w:rsid w:val="00666CA3"/>
    <w:rsid w:val="00667151"/>
    <w:rsid w:val="0066735C"/>
    <w:rsid w:val="006678D9"/>
    <w:rsid w:val="00667A99"/>
    <w:rsid w:val="00667BA3"/>
    <w:rsid w:val="00670197"/>
    <w:rsid w:val="0067035A"/>
    <w:rsid w:val="00670369"/>
    <w:rsid w:val="00670394"/>
    <w:rsid w:val="00670477"/>
    <w:rsid w:val="00670C7F"/>
    <w:rsid w:val="00670D29"/>
    <w:rsid w:val="00670D5D"/>
    <w:rsid w:val="00671DDD"/>
    <w:rsid w:val="00671FCF"/>
    <w:rsid w:val="00672A08"/>
    <w:rsid w:val="00672BB7"/>
    <w:rsid w:val="00672E9D"/>
    <w:rsid w:val="00672F0F"/>
    <w:rsid w:val="0067337C"/>
    <w:rsid w:val="006734FE"/>
    <w:rsid w:val="00673551"/>
    <w:rsid w:val="006735BD"/>
    <w:rsid w:val="0067365C"/>
    <w:rsid w:val="006737F0"/>
    <w:rsid w:val="006738DE"/>
    <w:rsid w:val="00673A8B"/>
    <w:rsid w:val="00673C99"/>
    <w:rsid w:val="00673FB1"/>
    <w:rsid w:val="0067405F"/>
    <w:rsid w:val="00674266"/>
    <w:rsid w:val="006742E8"/>
    <w:rsid w:val="00674310"/>
    <w:rsid w:val="00674469"/>
    <w:rsid w:val="006744FE"/>
    <w:rsid w:val="00674533"/>
    <w:rsid w:val="00674ACF"/>
    <w:rsid w:val="00674BC2"/>
    <w:rsid w:val="00674DC9"/>
    <w:rsid w:val="00674E1E"/>
    <w:rsid w:val="00675036"/>
    <w:rsid w:val="006750AC"/>
    <w:rsid w:val="006750F6"/>
    <w:rsid w:val="0067514E"/>
    <w:rsid w:val="00675213"/>
    <w:rsid w:val="00675389"/>
    <w:rsid w:val="006753D7"/>
    <w:rsid w:val="006757A7"/>
    <w:rsid w:val="00675A67"/>
    <w:rsid w:val="00675C6B"/>
    <w:rsid w:val="00675C83"/>
    <w:rsid w:val="006760BD"/>
    <w:rsid w:val="006764A6"/>
    <w:rsid w:val="006765C3"/>
    <w:rsid w:val="006765F0"/>
    <w:rsid w:val="00676749"/>
    <w:rsid w:val="00676839"/>
    <w:rsid w:val="00676B17"/>
    <w:rsid w:val="00676E69"/>
    <w:rsid w:val="00677316"/>
    <w:rsid w:val="00677437"/>
    <w:rsid w:val="00677653"/>
    <w:rsid w:val="00677815"/>
    <w:rsid w:val="00677F03"/>
    <w:rsid w:val="00677F26"/>
    <w:rsid w:val="00680675"/>
    <w:rsid w:val="006807A7"/>
    <w:rsid w:val="006807E4"/>
    <w:rsid w:val="00680801"/>
    <w:rsid w:val="006808D0"/>
    <w:rsid w:val="00680ADD"/>
    <w:rsid w:val="00680FD8"/>
    <w:rsid w:val="00681095"/>
    <w:rsid w:val="006810DE"/>
    <w:rsid w:val="006811C8"/>
    <w:rsid w:val="0068129C"/>
    <w:rsid w:val="00681323"/>
    <w:rsid w:val="0068140E"/>
    <w:rsid w:val="00681730"/>
    <w:rsid w:val="00681ABE"/>
    <w:rsid w:val="00681BDC"/>
    <w:rsid w:val="006820F8"/>
    <w:rsid w:val="006821C4"/>
    <w:rsid w:val="006829FA"/>
    <w:rsid w:val="0068336D"/>
    <w:rsid w:val="0068350B"/>
    <w:rsid w:val="00683772"/>
    <w:rsid w:val="006837F0"/>
    <w:rsid w:val="006838D6"/>
    <w:rsid w:val="00683939"/>
    <w:rsid w:val="00683C1B"/>
    <w:rsid w:val="00683D05"/>
    <w:rsid w:val="00683FB8"/>
    <w:rsid w:val="00684516"/>
    <w:rsid w:val="00684873"/>
    <w:rsid w:val="00684B3C"/>
    <w:rsid w:val="00684BB2"/>
    <w:rsid w:val="00684D17"/>
    <w:rsid w:val="00684D88"/>
    <w:rsid w:val="0068547B"/>
    <w:rsid w:val="00685495"/>
    <w:rsid w:val="0068594E"/>
    <w:rsid w:val="00685A0B"/>
    <w:rsid w:val="00685A1F"/>
    <w:rsid w:val="00685BC8"/>
    <w:rsid w:val="00685D54"/>
    <w:rsid w:val="00685E4E"/>
    <w:rsid w:val="00685F7E"/>
    <w:rsid w:val="00685FD1"/>
    <w:rsid w:val="0068646B"/>
    <w:rsid w:val="00686647"/>
    <w:rsid w:val="006867C8"/>
    <w:rsid w:val="00686CFD"/>
    <w:rsid w:val="00686E05"/>
    <w:rsid w:val="00686FC4"/>
    <w:rsid w:val="00687043"/>
    <w:rsid w:val="00687898"/>
    <w:rsid w:val="00687B13"/>
    <w:rsid w:val="00687B23"/>
    <w:rsid w:val="0069019A"/>
    <w:rsid w:val="00690590"/>
    <w:rsid w:val="006905B0"/>
    <w:rsid w:val="00690A04"/>
    <w:rsid w:val="00690B46"/>
    <w:rsid w:val="00690BB8"/>
    <w:rsid w:val="00690F22"/>
    <w:rsid w:val="006910B6"/>
    <w:rsid w:val="006911A5"/>
    <w:rsid w:val="0069127E"/>
    <w:rsid w:val="0069136D"/>
    <w:rsid w:val="006914D6"/>
    <w:rsid w:val="006914D7"/>
    <w:rsid w:val="006915BB"/>
    <w:rsid w:val="006915C5"/>
    <w:rsid w:val="00691D5F"/>
    <w:rsid w:val="00692401"/>
    <w:rsid w:val="0069256D"/>
    <w:rsid w:val="0069256E"/>
    <w:rsid w:val="006925ED"/>
    <w:rsid w:val="00692756"/>
    <w:rsid w:val="00692794"/>
    <w:rsid w:val="00692860"/>
    <w:rsid w:val="00692A7F"/>
    <w:rsid w:val="00692AFF"/>
    <w:rsid w:val="00692B37"/>
    <w:rsid w:val="00692EDC"/>
    <w:rsid w:val="0069343E"/>
    <w:rsid w:val="006936A4"/>
    <w:rsid w:val="00693B67"/>
    <w:rsid w:val="006941AF"/>
    <w:rsid w:val="006946EE"/>
    <w:rsid w:val="00694980"/>
    <w:rsid w:val="00694C76"/>
    <w:rsid w:val="006951FF"/>
    <w:rsid w:val="00695551"/>
    <w:rsid w:val="00695755"/>
    <w:rsid w:val="0069579D"/>
    <w:rsid w:val="00695845"/>
    <w:rsid w:val="00695B23"/>
    <w:rsid w:val="00695CFF"/>
    <w:rsid w:val="00695D32"/>
    <w:rsid w:val="0069639C"/>
    <w:rsid w:val="006963A1"/>
    <w:rsid w:val="006966E1"/>
    <w:rsid w:val="0069709B"/>
    <w:rsid w:val="006975F4"/>
    <w:rsid w:val="00697A2C"/>
    <w:rsid w:val="00697B0B"/>
    <w:rsid w:val="00697B59"/>
    <w:rsid w:val="00697B67"/>
    <w:rsid w:val="006A0068"/>
    <w:rsid w:val="006A03F0"/>
    <w:rsid w:val="006A05B3"/>
    <w:rsid w:val="006A05F9"/>
    <w:rsid w:val="006A0635"/>
    <w:rsid w:val="006A0664"/>
    <w:rsid w:val="006A08E0"/>
    <w:rsid w:val="006A0AEC"/>
    <w:rsid w:val="006A0B42"/>
    <w:rsid w:val="006A0DE9"/>
    <w:rsid w:val="006A0E52"/>
    <w:rsid w:val="006A14D3"/>
    <w:rsid w:val="006A1559"/>
    <w:rsid w:val="006A1571"/>
    <w:rsid w:val="006A1671"/>
    <w:rsid w:val="006A1703"/>
    <w:rsid w:val="006A1951"/>
    <w:rsid w:val="006A19F1"/>
    <w:rsid w:val="006A1A3D"/>
    <w:rsid w:val="006A1D29"/>
    <w:rsid w:val="006A2187"/>
    <w:rsid w:val="006A218C"/>
    <w:rsid w:val="006A2356"/>
    <w:rsid w:val="006A235E"/>
    <w:rsid w:val="006A247E"/>
    <w:rsid w:val="006A2754"/>
    <w:rsid w:val="006A2973"/>
    <w:rsid w:val="006A2AF0"/>
    <w:rsid w:val="006A3303"/>
    <w:rsid w:val="006A33C4"/>
    <w:rsid w:val="006A3621"/>
    <w:rsid w:val="006A3901"/>
    <w:rsid w:val="006A3B1E"/>
    <w:rsid w:val="006A3F9F"/>
    <w:rsid w:val="006A46C1"/>
    <w:rsid w:val="006A4946"/>
    <w:rsid w:val="006A4C51"/>
    <w:rsid w:val="006A4E0E"/>
    <w:rsid w:val="006A52B7"/>
    <w:rsid w:val="006A52C9"/>
    <w:rsid w:val="006A59EA"/>
    <w:rsid w:val="006A5C4B"/>
    <w:rsid w:val="006A6425"/>
    <w:rsid w:val="006A67DA"/>
    <w:rsid w:val="006A6872"/>
    <w:rsid w:val="006A6E9B"/>
    <w:rsid w:val="006A75E4"/>
    <w:rsid w:val="006A7D30"/>
    <w:rsid w:val="006A7DE5"/>
    <w:rsid w:val="006B0043"/>
    <w:rsid w:val="006B0068"/>
    <w:rsid w:val="006B0433"/>
    <w:rsid w:val="006B04A4"/>
    <w:rsid w:val="006B0A4D"/>
    <w:rsid w:val="006B0AE4"/>
    <w:rsid w:val="006B0BA3"/>
    <w:rsid w:val="006B0C5C"/>
    <w:rsid w:val="006B0D91"/>
    <w:rsid w:val="006B0E64"/>
    <w:rsid w:val="006B0F7B"/>
    <w:rsid w:val="006B164B"/>
    <w:rsid w:val="006B1E92"/>
    <w:rsid w:val="006B206D"/>
    <w:rsid w:val="006B21DD"/>
    <w:rsid w:val="006B25AE"/>
    <w:rsid w:val="006B2642"/>
    <w:rsid w:val="006B2A10"/>
    <w:rsid w:val="006B2B3E"/>
    <w:rsid w:val="006B2CB9"/>
    <w:rsid w:val="006B30CF"/>
    <w:rsid w:val="006B31BB"/>
    <w:rsid w:val="006B3A2D"/>
    <w:rsid w:val="006B3B3D"/>
    <w:rsid w:val="006B4614"/>
    <w:rsid w:val="006B4827"/>
    <w:rsid w:val="006B4935"/>
    <w:rsid w:val="006B4B3B"/>
    <w:rsid w:val="006B5409"/>
    <w:rsid w:val="006B572F"/>
    <w:rsid w:val="006B5A03"/>
    <w:rsid w:val="006B5AE0"/>
    <w:rsid w:val="006B5B30"/>
    <w:rsid w:val="006B5CDB"/>
    <w:rsid w:val="006B63A1"/>
    <w:rsid w:val="006B65F1"/>
    <w:rsid w:val="006B670D"/>
    <w:rsid w:val="006B673B"/>
    <w:rsid w:val="006B6A15"/>
    <w:rsid w:val="006B6D96"/>
    <w:rsid w:val="006B6ED0"/>
    <w:rsid w:val="006B7032"/>
    <w:rsid w:val="006B7066"/>
    <w:rsid w:val="006B72FF"/>
    <w:rsid w:val="006B7463"/>
    <w:rsid w:val="006B7842"/>
    <w:rsid w:val="006B79B7"/>
    <w:rsid w:val="006B7A73"/>
    <w:rsid w:val="006B7BDE"/>
    <w:rsid w:val="006B7D5A"/>
    <w:rsid w:val="006C0CA3"/>
    <w:rsid w:val="006C0E76"/>
    <w:rsid w:val="006C1437"/>
    <w:rsid w:val="006C15B2"/>
    <w:rsid w:val="006C1A73"/>
    <w:rsid w:val="006C2319"/>
    <w:rsid w:val="006C2339"/>
    <w:rsid w:val="006C248D"/>
    <w:rsid w:val="006C265E"/>
    <w:rsid w:val="006C268E"/>
    <w:rsid w:val="006C2777"/>
    <w:rsid w:val="006C27AD"/>
    <w:rsid w:val="006C2867"/>
    <w:rsid w:val="006C2AEE"/>
    <w:rsid w:val="006C3271"/>
    <w:rsid w:val="006C328D"/>
    <w:rsid w:val="006C340B"/>
    <w:rsid w:val="006C3B56"/>
    <w:rsid w:val="006C3B86"/>
    <w:rsid w:val="006C3C7A"/>
    <w:rsid w:val="006C3CC8"/>
    <w:rsid w:val="006C3F9E"/>
    <w:rsid w:val="006C4276"/>
    <w:rsid w:val="006C4654"/>
    <w:rsid w:val="006C49B1"/>
    <w:rsid w:val="006C4CAA"/>
    <w:rsid w:val="006C4DAB"/>
    <w:rsid w:val="006C518D"/>
    <w:rsid w:val="006C5A41"/>
    <w:rsid w:val="006C5A48"/>
    <w:rsid w:val="006C5A73"/>
    <w:rsid w:val="006C5CE8"/>
    <w:rsid w:val="006C632A"/>
    <w:rsid w:val="006C6596"/>
    <w:rsid w:val="006C65CC"/>
    <w:rsid w:val="006C6762"/>
    <w:rsid w:val="006C682C"/>
    <w:rsid w:val="006C68B8"/>
    <w:rsid w:val="006C6B58"/>
    <w:rsid w:val="006C6D35"/>
    <w:rsid w:val="006C6E9D"/>
    <w:rsid w:val="006C725C"/>
    <w:rsid w:val="006C730C"/>
    <w:rsid w:val="006C77C3"/>
    <w:rsid w:val="006C7861"/>
    <w:rsid w:val="006C789E"/>
    <w:rsid w:val="006C7C05"/>
    <w:rsid w:val="006C7CB1"/>
    <w:rsid w:val="006D0388"/>
    <w:rsid w:val="006D03ED"/>
    <w:rsid w:val="006D0C64"/>
    <w:rsid w:val="006D0DAC"/>
    <w:rsid w:val="006D0E52"/>
    <w:rsid w:val="006D0F7D"/>
    <w:rsid w:val="006D0FC7"/>
    <w:rsid w:val="006D11A5"/>
    <w:rsid w:val="006D1340"/>
    <w:rsid w:val="006D1532"/>
    <w:rsid w:val="006D15A2"/>
    <w:rsid w:val="006D15FE"/>
    <w:rsid w:val="006D1628"/>
    <w:rsid w:val="006D16B5"/>
    <w:rsid w:val="006D1742"/>
    <w:rsid w:val="006D17FC"/>
    <w:rsid w:val="006D1AB7"/>
    <w:rsid w:val="006D1BDC"/>
    <w:rsid w:val="006D1BE4"/>
    <w:rsid w:val="006D1D03"/>
    <w:rsid w:val="006D1D42"/>
    <w:rsid w:val="006D1D68"/>
    <w:rsid w:val="006D1E43"/>
    <w:rsid w:val="006D1FAC"/>
    <w:rsid w:val="006D206E"/>
    <w:rsid w:val="006D20B9"/>
    <w:rsid w:val="006D2240"/>
    <w:rsid w:val="006D28B6"/>
    <w:rsid w:val="006D2A7A"/>
    <w:rsid w:val="006D2CC1"/>
    <w:rsid w:val="006D2E11"/>
    <w:rsid w:val="006D3267"/>
    <w:rsid w:val="006D377A"/>
    <w:rsid w:val="006D3D43"/>
    <w:rsid w:val="006D3D52"/>
    <w:rsid w:val="006D3E3D"/>
    <w:rsid w:val="006D405A"/>
    <w:rsid w:val="006D43FC"/>
    <w:rsid w:val="006D446C"/>
    <w:rsid w:val="006D46B8"/>
    <w:rsid w:val="006D46C0"/>
    <w:rsid w:val="006D495D"/>
    <w:rsid w:val="006D499C"/>
    <w:rsid w:val="006D4B22"/>
    <w:rsid w:val="006D4CFF"/>
    <w:rsid w:val="006D4E51"/>
    <w:rsid w:val="006D5001"/>
    <w:rsid w:val="006D51D3"/>
    <w:rsid w:val="006D58EB"/>
    <w:rsid w:val="006D5D7C"/>
    <w:rsid w:val="006D5D8A"/>
    <w:rsid w:val="006D64B2"/>
    <w:rsid w:val="006D64B5"/>
    <w:rsid w:val="006D69D0"/>
    <w:rsid w:val="006D6AD6"/>
    <w:rsid w:val="006D6C2B"/>
    <w:rsid w:val="006D72DE"/>
    <w:rsid w:val="006D74E2"/>
    <w:rsid w:val="006D7B35"/>
    <w:rsid w:val="006D7CB2"/>
    <w:rsid w:val="006D7F50"/>
    <w:rsid w:val="006E00BD"/>
    <w:rsid w:val="006E0242"/>
    <w:rsid w:val="006E03A2"/>
    <w:rsid w:val="006E0468"/>
    <w:rsid w:val="006E0585"/>
    <w:rsid w:val="006E06BA"/>
    <w:rsid w:val="006E07A7"/>
    <w:rsid w:val="006E092F"/>
    <w:rsid w:val="006E0958"/>
    <w:rsid w:val="006E0E28"/>
    <w:rsid w:val="006E0EB9"/>
    <w:rsid w:val="006E0F3A"/>
    <w:rsid w:val="006E11C5"/>
    <w:rsid w:val="006E14DB"/>
    <w:rsid w:val="006E14E6"/>
    <w:rsid w:val="006E1572"/>
    <w:rsid w:val="006E1D5F"/>
    <w:rsid w:val="006E20A7"/>
    <w:rsid w:val="006E2465"/>
    <w:rsid w:val="006E2595"/>
    <w:rsid w:val="006E260A"/>
    <w:rsid w:val="006E2716"/>
    <w:rsid w:val="006E2791"/>
    <w:rsid w:val="006E2985"/>
    <w:rsid w:val="006E2D73"/>
    <w:rsid w:val="006E333D"/>
    <w:rsid w:val="006E35F5"/>
    <w:rsid w:val="006E3681"/>
    <w:rsid w:val="006E3D22"/>
    <w:rsid w:val="006E3F48"/>
    <w:rsid w:val="006E4244"/>
    <w:rsid w:val="006E42AD"/>
    <w:rsid w:val="006E42C2"/>
    <w:rsid w:val="006E430B"/>
    <w:rsid w:val="006E430C"/>
    <w:rsid w:val="006E4C5D"/>
    <w:rsid w:val="006E5016"/>
    <w:rsid w:val="006E5499"/>
    <w:rsid w:val="006E55D9"/>
    <w:rsid w:val="006E55DC"/>
    <w:rsid w:val="006E58CE"/>
    <w:rsid w:val="006E5C94"/>
    <w:rsid w:val="006E5D02"/>
    <w:rsid w:val="006E609E"/>
    <w:rsid w:val="006E6164"/>
    <w:rsid w:val="006E6431"/>
    <w:rsid w:val="006E64F0"/>
    <w:rsid w:val="006E6528"/>
    <w:rsid w:val="006E6662"/>
    <w:rsid w:val="006E67CE"/>
    <w:rsid w:val="006E6D0E"/>
    <w:rsid w:val="006E6DA6"/>
    <w:rsid w:val="006E6E52"/>
    <w:rsid w:val="006E704F"/>
    <w:rsid w:val="006E70D5"/>
    <w:rsid w:val="006E72F9"/>
    <w:rsid w:val="006E744D"/>
    <w:rsid w:val="006E75B5"/>
    <w:rsid w:val="006E78E2"/>
    <w:rsid w:val="006E7C15"/>
    <w:rsid w:val="006E7F35"/>
    <w:rsid w:val="006F0044"/>
    <w:rsid w:val="006F0112"/>
    <w:rsid w:val="006F01DF"/>
    <w:rsid w:val="006F0417"/>
    <w:rsid w:val="006F0482"/>
    <w:rsid w:val="006F04E2"/>
    <w:rsid w:val="006F0653"/>
    <w:rsid w:val="006F0892"/>
    <w:rsid w:val="006F0899"/>
    <w:rsid w:val="006F0BBE"/>
    <w:rsid w:val="006F1183"/>
    <w:rsid w:val="006F13B9"/>
    <w:rsid w:val="006F16F3"/>
    <w:rsid w:val="006F176A"/>
    <w:rsid w:val="006F1BA8"/>
    <w:rsid w:val="006F1BE9"/>
    <w:rsid w:val="006F1F19"/>
    <w:rsid w:val="006F2014"/>
    <w:rsid w:val="006F2080"/>
    <w:rsid w:val="006F20AF"/>
    <w:rsid w:val="006F21BA"/>
    <w:rsid w:val="006F220A"/>
    <w:rsid w:val="006F233A"/>
    <w:rsid w:val="006F237E"/>
    <w:rsid w:val="006F24ED"/>
    <w:rsid w:val="006F2597"/>
    <w:rsid w:val="006F26F0"/>
    <w:rsid w:val="006F275F"/>
    <w:rsid w:val="006F28DC"/>
    <w:rsid w:val="006F2959"/>
    <w:rsid w:val="006F2C2C"/>
    <w:rsid w:val="006F2C8E"/>
    <w:rsid w:val="006F2CD0"/>
    <w:rsid w:val="006F305B"/>
    <w:rsid w:val="006F35A2"/>
    <w:rsid w:val="006F37CA"/>
    <w:rsid w:val="006F3BAD"/>
    <w:rsid w:val="006F3E39"/>
    <w:rsid w:val="006F40AE"/>
    <w:rsid w:val="006F43BC"/>
    <w:rsid w:val="006F458F"/>
    <w:rsid w:val="006F47EE"/>
    <w:rsid w:val="006F4921"/>
    <w:rsid w:val="006F4965"/>
    <w:rsid w:val="006F4CF1"/>
    <w:rsid w:val="006F4DFB"/>
    <w:rsid w:val="006F505C"/>
    <w:rsid w:val="006F590D"/>
    <w:rsid w:val="006F5EDD"/>
    <w:rsid w:val="006F620B"/>
    <w:rsid w:val="006F6483"/>
    <w:rsid w:val="006F6982"/>
    <w:rsid w:val="006F6EB8"/>
    <w:rsid w:val="006F71C0"/>
    <w:rsid w:val="006F7376"/>
    <w:rsid w:val="006F78A3"/>
    <w:rsid w:val="006F7BEC"/>
    <w:rsid w:val="006F7D5B"/>
    <w:rsid w:val="006F7E8C"/>
    <w:rsid w:val="00700450"/>
    <w:rsid w:val="00700650"/>
    <w:rsid w:val="00700897"/>
    <w:rsid w:val="00700AEA"/>
    <w:rsid w:val="00700B2A"/>
    <w:rsid w:val="007014C9"/>
    <w:rsid w:val="00701797"/>
    <w:rsid w:val="00701DA1"/>
    <w:rsid w:val="00701FE8"/>
    <w:rsid w:val="00702010"/>
    <w:rsid w:val="007020B1"/>
    <w:rsid w:val="007022EB"/>
    <w:rsid w:val="0070248D"/>
    <w:rsid w:val="007024AA"/>
    <w:rsid w:val="00702579"/>
    <w:rsid w:val="007025A2"/>
    <w:rsid w:val="00702C69"/>
    <w:rsid w:val="00702D90"/>
    <w:rsid w:val="00702E2B"/>
    <w:rsid w:val="00703953"/>
    <w:rsid w:val="00703C20"/>
    <w:rsid w:val="00703C3E"/>
    <w:rsid w:val="00703DEC"/>
    <w:rsid w:val="00703DF4"/>
    <w:rsid w:val="0070437E"/>
    <w:rsid w:val="00704440"/>
    <w:rsid w:val="007046B7"/>
    <w:rsid w:val="007047BE"/>
    <w:rsid w:val="00704942"/>
    <w:rsid w:val="00704B0F"/>
    <w:rsid w:val="00704E0F"/>
    <w:rsid w:val="00704E24"/>
    <w:rsid w:val="00705174"/>
    <w:rsid w:val="00705230"/>
    <w:rsid w:val="00705248"/>
    <w:rsid w:val="0070525E"/>
    <w:rsid w:val="007053C6"/>
    <w:rsid w:val="00705427"/>
    <w:rsid w:val="007054BD"/>
    <w:rsid w:val="0070581B"/>
    <w:rsid w:val="00705B08"/>
    <w:rsid w:val="00705E3B"/>
    <w:rsid w:val="0070601E"/>
    <w:rsid w:val="007060D3"/>
    <w:rsid w:val="007061DF"/>
    <w:rsid w:val="00706702"/>
    <w:rsid w:val="00706C3C"/>
    <w:rsid w:val="00706F64"/>
    <w:rsid w:val="00707227"/>
    <w:rsid w:val="0070730C"/>
    <w:rsid w:val="00707343"/>
    <w:rsid w:val="0070751D"/>
    <w:rsid w:val="0070775F"/>
    <w:rsid w:val="00707CD1"/>
    <w:rsid w:val="00707ED7"/>
    <w:rsid w:val="00707F24"/>
    <w:rsid w:val="0071037A"/>
    <w:rsid w:val="00710433"/>
    <w:rsid w:val="00710518"/>
    <w:rsid w:val="00710680"/>
    <w:rsid w:val="00710BBE"/>
    <w:rsid w:val="00710F49"/>
    <w:rsid w:val="007110C3"/>
    <w:rsid w:val="007113E0"/>
    <w:rsid w:val="0071146C"/>
    <w:rsid w:val="00711508"/>
    <w:rsid w:val="00711588"/>
    <w:rsid w:val="0071177B"/>
    <w:rsid w:val="00711DEC"/>
    <w:rsid w:val="00711E33"/>
    <w:rsid w:val="00711FAE"/>
    <w:rsid w:val="007121E7"/>
    <w:rsid w:val="00712748"/>
    <w:rsid w:val="00712EB3"/>
    <w:rsid w:val="00712EC0"/>
    <w:rsid w:val="00712F80"/>
    <w:rsid w:val="007135EF"/>
    <w:rsid w:val="0071361C"/>
    <w:rsid w:val="00713CFD"/>
    <w:rsid w:val="00713DDD"/>
    <w:rsid w:val="007141DC"/>
    <w:rsid w:val="00714301"/>
    <w:rsid w:val="007143CE"/>
    <w:rsid w:val="007148BC"/>
    <w:rsid w:val="00714C15"/>
    <w:rsid w:val="00714E2F"/>
    <w:rsid w:val="00715358"/>
    <w:rsid w:val="007154A8"/>
    <w:rsid w:val="007154F4"/>
    <w:rsid w:val="00715744"/>
    <w:rsid w:val="007157A4"/>
    <w:rsid w:val="00715908"/>
    <w:rsid w:val="00715ADD"/>
    <w:rsid w:val="00715FEE"/>
    <w:rsid w:val="0071631B"/>
    <w:rsid w:val="007163BB"/>
    <w:rsid w:val="00716406"/>
    <w:rsid w:val="0071640C"/>
    <w:rsid w:val="0071644D"/>
    <w:rsid w:val="00716533"/>
    <w:rsid w:val="007165AC"/>
    <w:rsid w:val="00716609"/>
    <w:rsid w:val="00716947"/>
    <w:rsid w:val="00716B1E"/>
    <w:rsid w:val="00716CE9"/>
    <w:rsid w:val="007174AF"/>
    <w:rsid w:val="00717681"/>
    <w:rsid w:val="007176E6"/>
    <w:rsid w:val="007177DF"/>
    <w:rsid w:val="00717927"/>
    <w:rsid w:val="00717987"/>
    <w:rsid w:val="00717DE2"/>
    <w:rsid w:val="00717E60"/>
    <w:rsid w:val="00720E33"/>
    <w:rsid w:val="0072108A"/>
    <w:rsid w:val="00721095"/>
    <w:rsid w:val="00721358"/>
    <w:rsid w:val="0072179F"/>
    <w:rsid w:val="007218DD"/>
    <w:rsid w:val="00721A83"/>
    <w:rsid w:val="00721CEE"/>
    <w:rsid w:val="007221BA"/>
    <w:rsid w:val="00722897"/>
    <w:rsid w:val="00722C6A"/>
    <w:rsid w:val="007234DF"/>
    <w:rsid w:val="00723F20"/>
    <w:rsid w:val="00724630"/>
    <w:rsid w:val="00724667"/>
    <w:rsid w:val="00724AA8"/>
    <w:rsid w:val="00724B04"/>
    <w:rsid w:val="00724D45"/>
    <w:rsid w:val="00724D6F"/>
    <w:rsid w:val="00725191"/>
    <w:rsid w:val="00725326"/>
    <w:rsid w:val="00725CC6"/>
    <w:rsid w:val="00725F37"/>
    <w:rsid w:val="0072633F"/>
    <w:rsid w:val="00726627"/>
    <w:rsid w:val="007268B7"/>
    <w:rsid w:val="00726DF1"/>
    <w:rsid w:val="00726ED5"/>
    <w:rsid w:val="007270B7"/>
    <w:rsid w:val="00727248"/>
    <w:rsid w:val="00727511"/>
    <w:rsid w:val="00727530"/>
    <w:rsid w:val="007275A5"/>
    <w:rsid w:val="0072786B"/>
    <w:rsid w:val="007279E4"/>
    <w:rsid w:val="00727C98"/>
    <w:rsid w:val="00727C9E"/>
    <w:rsid w:val="00727E16"/>
    <w:rsid w:val="00727E31"/>
    <w:rsid w:val="00727F69"/>
    <w:rsid w:val="00730338"/>
    <w:rsid w:val="00730807"/>
    <w:rsid w:val="00730C78"/>
    <w:rsid w:val="00730C99"/>
    <w:rsid w:val="007310BF"/>
    <w:rsid w:val="0073113A"/>
    <w:rsid w:val="007311F0"/>
    <w:rsid w:val="0073120F"/>
    <w:rsid w:val="007312EB"/>
    <w:rsid w:val="00731334"/>
    <w:rsid w:val="00731490"/>
    <w:rsid w:val="007317E4"/>
    <w:rsid w:val="00731977"/>
    <w:rsid w:val="00731A46"/>
    <w:rsid w:val="00731BE0"/>
    <w:rsid w:val="00731DD3"/>
    <w:rsid w:val="00731E79"/>
    <w:rsid w:val="00732422"/>
    <w:rsid w:val="00732472"/>
    <w:rsid w:val="0073277D"/>
    <w:rsid w:val="00733017"/>
    <w:rsid w:val="0073346D"/>
    <w:rsid w:val="0073350C"/>
    <w:rsid w:val="00733600"/>
    <w:rsid w:val="007338F2"/>
    <w:rsid w:val="00733B75"/>
    <w:rsid w:val="00733FFF"/>
    <w:rsid w:val="007343AF"/>
    <w:rsid w:val="007343E0"/>
    <w:rsid w:val="007344F9"/>
    <w:rsid w:val="0073457A"/>
    <w:rsid w:val="00734688"/>
    <w:rsid w:val="007347E3"/>
    <w:rsid w:val="00734B24"/>
    <w:rsid w:val="00734E21"/>
    <w:rsid w:val="0073511E"/>
    <w:rsid w:val="0073529A"/>
    <w:rsid w:val="007352AF"/>
    <w:rsid w:val="00735331"/>
    <w:rsid w:val="007355D7"/>
    <w:rsid w:val="00735856"/>
    <w:rsid w:val="007359CF"/>
    <w:rsid w:val="00735C34"/>
    <w:rsid w:val="00735DAF"/>
    <w:rsid w:val="00735E5E"/>
    <w:rsid w:val="00736117"/>
    <w:rsid w:val="00736438"/>
    <w:rsid w:val="00736504"/>
    <w:rsid w:val="007365FA"/>
    <w:rsid w:val="00736606"/>
    <w:rsid w:val="00736835"/>
    <w:rsid w:val="007369E1"/>
    <w:rsid w:val="00736B53"/>
    <w:rsid w:val="00736D8A"/>
    <w:rsid w:val="00736E14"/>
    <w:rsid w:val="00736FDA"/>
    <w:rsid w:val="007370BF"/>
    <w:rsid w:val="0073724F"/>
    <w:rsid w:val="00737918"/>
    <w:rsid w:val="00737BA3"/>
    <w:rsid w:val="00737DCE"/>
    <w:rsid w:val="00737E55"/>
    <w:rsid w:val="0074048E"/>
    <w:rsid w:val="007404A2"/>
    <w:rsid w:val="007404FF"/>
    <w:rsid w:val="007406DA"/>
    <w:rsid w:val="007408C6"/>
    <w:rsid w:val="00740C4D"/>
    <w:rsid w:val="00740DA6"/>
    <w:rsid w:val="00741462"/>
    <w:rsid w:val="0074176B"/>
    <w:rsid w:val="00741915"/>
    <w:rsid w:val="00741A63"/>
    <w:rsid w:val="00741BE4"/>
    <w:rsid w:val="00741DC7"/>
    <w:rsid w:val="00741F1F"/>
    <w:rsid w:val="00742314"/>
    <w:rsid w:val="00742474"/>
    <w:rsid w:val="007424F6"/>
    <w:rsid w:val="0074321F"/>
    <w:rsid w:val="007432AE"/>
    <w:rsid w:val="00743451"/>
    <w:rsid w:val="00743727"/>
    <w:rsid w:val="007437B6"/>
    <w:rsid w:val="0074388E"/>
    <w:rsid w:val="00743A94"/>
    <w:rsid w:val="00743E87"/>
    <w:rsid w:val="007444E4"/>
    <w:rsid w:val="007449E1"/>
    <w:rsid w:val="00744CBF"/>
    <w:rsid w:val="00744CE8"/>
    <w:rsid w:val="00744E63"/>
    <w:rsid w:val="007450C0"/>
    <w:rsid w:val="00745187"/>
    <w:rsid w:val="007452CA"/>
    <w:rsid w:val="007454AB"/>
    <w:rsid w:val="0074554A"/>
    <w:rsid w:val="00745664"/>
    <w:rsid w:val="0074595F"/>
    <w:rsid w:val="00745964"/>
    <w:rsid w:val="007459D1"/>
    <w:rsid w:val="00745A3E"/>
    <w:rsid w:val="00745C0C"/>
    <w:rsid w:val="007460AA"/>
    <w:rsid w:val="007462B7"/>
    <w:rsid w:val="00746353"/>
    <w:rsid w:val="007466A2"/>
    <w:rsid w:val="00746728"/>
    <w:rsid w:val="0074686F"/>
    <w:rsid w:val="00746933"/>
    <w:rsid w:val="007469FB"/>
    <w:rsid w:val="00746A3F"/>
    <w:rsid w:val="00746A78"/>
    <w:rsid w:val="00746DDA"/>
    <w:rsid w:val="00746F28"/>
    <w:rsid w:val="007471C7"/>
    <w:rsid w:val="0074764D"/>
    <w:rsid w:val="0074782F"/>
    <w:rsid w:val="00747A13"/>
    <w:rsid w:val="00747C42"/>
    <w:rsid w:val="00747C50"/>
    <w:rsid w:val="00747E7A"/>
    <w:rsid w:val="00747E9D"/>
    <w:rsid w:val="0075047D"/>
    <w:rsid w:val="00750523"/>
    <w:rsid w:val="0075055D"/>
    <w:rsid w:val="00750984"/>
    <w:rsid w:val="00750B89"/>
    <w:rsid w:val="00750FBE"/>
    <w:rsid w:val="0075104B"/>
    <w:rsid w:val="00751191"/>
    <w:rsid w:val="007511D3"/>
    <w:rsid w:val="007511E8"/>
    <w:rsid w:val="00751387"/>
    <w:rsid w:val="00751529"/>
    <w:rsid w:val="007515AB"/>
    <w:rsid w:val="007516FD"/>
    <w:rsid w:val="00751A9B"/>
    <w:rsid w:val="00751C22"/>
    <w:rsid w:val="00751C41"/>
    <w:rsid w:val="00752152"/>
    <w:rsid w:val="007521AA"/>
    <w:rsid w:val="0075225F"/>
    <w:rsid w:val="00752379"/>
    <w:rsid w:val="00752485"/>
    <w:rsid w:val="0075259E"/>
    <w:rsid w:val="00752728"/>
    <w:rsid w:val="0075290F"/>
    <w:rsid w:val="00752E27"/>
    <w:rsid w:val="00752F0D"/>
    <w:rsid w:val="0075304F"/>
    <w:rsid w:val="00753155"/>
    <w:rsid w:val="007534F0"/>
    <w:rsid w:val="00753596"/>
    <w:rsid w:val="0075366E"/>
    <w:rsid w:val="00753AD5"/>
    <w:rsid w:val="00753ADE"/>
    <w:rsid w:val="00753BE4"/>
    <w:rsid w:val="00753BF2"/>
    <w:rsid w:val="00753C57"/>
    <w:rsid w:val="00753DD9"/>
    <w:rsid w:val="0075419C"/>
    <w:rsid w:val="00754647"/>
    <w:rsid w:val="007548C3"/>
    <w:rsid w:val="00754C35"/>
    <w:rsid w:val="00754F1D"/>
    <w:rsid w:val="00754FEB"/>
    <w:rsid w:val="00755626"/>
    <w:rsid w:val="00755728"/>
    <w:rsid w:val="00755806"/>
    <w:rsid w:val="007558C0"/>
    <w:rsid w:val="00755A69"/>
    <w:rsid w:val="00755AF9"/>
    <w:rsid w:val="00755CB7"/>
    <w:rsid w:val="00755E57"/>
    <w:rsid w:val="007562BB"/>
    <w:rsid w:val="007566F3"/>
    <w:rsid w:val="007569B8"/>
    <w:rsid w:val="00756A84"/>
    <w:rsid w:val="00756E46"/>
    <w:rsid w:val="00756F63"/>
    <w:rsid w:val="00757041"/>
    <w:rsid w:val="0075709E"/>
    <w:rsid w:val="007570BB"/>
    <w:rsid w:val="007570FA"/>
    <w:rsid w:val="007576DD"/>
    <w:rsid w:val="007577DB"/>
    <w:rsid w:val="00757B26"/>
    <w:rsid w:val="0076003D"/>
    <w:rsid w:val="00760062"/>
    <w:rsid w:val="00760132"/>
    <w:rsid w:val="007601C5"/>
    <w:rsid w:val="007602D9"/>
    <w:rsid w:val="0076039B"/>
    <w:rsid w:val="007603E7"/>
    <w:rsid w:val="007608D8"/>
    <w:rsid w:val="0076090D"/>
    <w:rsid w:val="007609AA"/>
    <w:rsid w:val="00760C40"/>
    <w:rsid w:val="00761431"/>
    <w:rsid w:val="00761513"/>
    <w:rsid w:val="0076158C"/>
    <w:rsid w:val="007617ED"/>
    <w:rsid w:val="00761A7F"/>
    <w:rsid w:val="00761B04"/>
    <w:rsid w:val="00761BA8"/>
    <w:rsid w:val="00761DD3"/>
    <w:rsid w:val="00761FE4"/>
    <w:rsid w:val="00762102"/>
    <w:rsid w:val="00762756"/>
    <w:rsid w:val="0076278B"/>
    <w:rsid w:val="00762B61"/>
    <w:rsid w:val="00762C29"/>
    <w:rsid w:val="007630BA"/>
    <w:rsid w:val="0076363C"/>
    <w:rsid w:val="0076372A"/>
    <w:rsid w:val="0076396C"/>
    <w:rsid w:val="007639BD"/>
    <w:rsid w:val="00763A54"/>
    <w:rsid w:val="00763EE0"/>
    <w:rsid w:val="00764007"/>
    <w:rsid w:val="0076408A"/>
    <w:rsid w:val="007640E0"/>
    <w:rsid w:val="00764102"/>
    <w:rsid w:val="007641B2"/>
    <w:rsid w:val="0076423C"/>
    <w:rsid w:val="007644D4"/>
    <w:rsid w:val="00764611"/>
    <w:rsid w:val="00764706"/>
    <w:rsid w:val="00764928"/>
    <w:rsid w:val="00765187"/>
    <w:rsid w:val="007653F3"/>
    <w:rsid w:val="00765414"/>
    <w:rsid w:val="00765459"/>
    <w:rsid w:val="007654FF"/>
    <w:rsid w:val="007655F9"/>
    <w:rsid w:val="00765753"/>
    <w:rsid w:val="007659ED"/>
    <w:rsid w:val="00765A15"/>
    <w:rsid w:val="00765BC5"/>
    <w:rsid w:val="00765CF0"/>
    <w:rsid w:val="00765D77"/>
    <w:rsid w:val="00765D79"/>
    <w:rsid w:val="00765E82"/>
    <w:rsid w:val="0076614E"/>
    <w:rsid w:val="007665C2"/>
    <w:rsid w:val="00766668"/>
    <w:rsid w:val="0076680C"/>
    <w:rsid w:val="00766819"/>
    <w:rsid w:val="007669B3"/>
    <w:rsid w:val="00766D03"/>
    <w:rsid w:val="0076712F"/>
    <w:rsid w:val="00767299"/>
    <w:rsid w:val="00767544"/>
    <w:rsid w:val="00767578"/>
    <w:rsid w:val="0076758A"/>
    <w:rsid w:val="0076788A"/>
    <w:rsid w:val="00767B8E"/>
    <w:rsid w:val="0077036B"/>
    <w:rsid w:val="00770457"/>
    <w:rsid w:val="00770782"/>
    <w:rsid w:val="00770D72"/>
    <w:rsid w:val="00770D95"/>
    <w:rsid w:val="00770DA2"/>
    <w:rsid w:val="00770DE0"/>
    <w:rsid w:val="007711CF"/>
    <w:rsid w:val="0077131C"/>
    <w:rsid w:val="0077137D"/>
    <w:rsid w:val="00771416"/>
    <w:rsid w:val="00771532"/>
    <w:rsid w:val="0077159A"/>
    <w:rsid w:val="007716FA"/>
    <w:rsid w:val="007717A5"/>
    <w:rsid w:val="0077196A"/>
    <w:rsid w:val="00771975"/>
    <w:rsid w:val="00771D65"/>
    <w:rsid w:val="00772036"/>
    <w:rsid w:val="007720E8"/>
    <w:rsid w:val="00772374"/>
    <w:rsid w:val="00772659"/>
    <w:rsid w:val="00772763"/>
    <w:rsid w:val="00772774"/>
    <w:rsid w:val="00772915"/>
    <w:rsid w:val="00772985"/>
    <w:rsid w:val="00772C59"/>
    <w:rsid w:val="00772CB0"/>
    <w:rsid w:val="00772E30"/>
    <w:rsid w:val="00773120"/>
    <w:rsid w:val="00773256"/>
    <w:rsid w:val="00773359"/>
    <w:rsid w:val="00773382"/>
    <w:rsid w:val="0077351F"/>
    <w:rsid w:val="0077385E"/>
    <w:rsid w:val="00773865"/>
    <w:rsid w:val="00773CA0"/>
    <w:rsid w:val="00773D8B"/>
    <w:rsid w:val="00773D8E"/>
    <w:rsid w:val="00773DC3"/>
    <w:rsid w:val="00773F7A"/>
    <w:rsid w:val="00774016"/>
    <w:rsid w:val="007740DB"/>
    <w:rsid w:val="007740F0"/>
    <w:rsid w:val="00774182"/>
    <w:rsid w:val="007741BA"/>
    <w:rsid w:val="0077429D"/>
    <w:rsid w:val="0077454C"/>
    <w:rsid w:val="007745BC"/>
    <w:rsid w:val="00774ADF"/>
    <w:rsid w:val="00774BBC"/>
    <w:rsid w:val="00774C5F"/>
    <w:rsid w:val="00774DE5"/>
    <w:rsid w:val="00774EBE"/>
    <w:rsid w:val="0077533C"/>
    <w:rsid w:val="00775672"/>
    <w:rsid w:val="007757A9"/>
    <w:rsid w:val="00775A4D"/>
    <w:rsid w:val="00775B93"/>
    <w:rsid w:val="00775C3A"/>
    <w:rsid w:val="00775E38"/>
    <w:rsid w:val="00775FF8"/>
    <w:rsid w:val="0077617A"/>
    <w:rsid w:val="00776493"/>
    <w:rsid w:val="00776510"/>
    <w:rsid w:val="007766C0"/>
    <w:rsid w:val="00776713"/>
    <w:rsid w:val="00776BF5"/>
    <w:rsid w:val="00776C0B"/>
    <w:rsid w:val="00776E1F"/>
    <w:rsid w:val="007771F6"/>
    <w:rsid w:val="00777361"/>
    <w:rsid w:val="007774B9"/>
    <w:rsid w:val="00777670"/>
    <w:rsid w:val="007777BB"/>
    <w:rsid w:val="00777B26"/>
    <w:rsid w:val="00780166"/>
    <w:rsid w:val="007801C7"/>
    <w:rsid w:val="00780BA7"/>
    <w:rsid w:val="00780D0A"/>
    <w:rsid w:val="00780E0D"/>
    <w:rsid w:val="007811D5"/>
    <w:rsid w:val="0078127B"/>
    <w:rsid w:val="0078135E"/>
    <w:rsid w:val="007813D0"/>
    <w:rsid w:val="007813F9"/>
    <w:rsid w:val="00781584"/>
    <w:rsid w:val="007815FE"/>
    <w:rsid w:val="007817FB"/>
    <w:rsid w:val="00781A21"/>
    <w:rsid w:val="00781B44"/>
    <w:rsid w:val="00781D0B"/>
    <w:rsid w:val="00781E4A"/>
    <w:rsid w:val="00781F7F"/>
    <w:rsid w:val="00782017"/>
    <w:rsid w:val="007820CE"/>
    <w:rsid w:val="00782283"/>
    <w:rsid w:val="007824CE"/>
    <w:rsid w:val="00782AD8"/>
    <w:rsid w:val="00782E08"/>
    <w:rsid w:val="00782EC4"/>
    <w:rsid w:val="0078328D"/>
    <w:rsid w:val="00783319"/>
    <w:rsid w:val="007835BD"/>
    <w:rsid w:val="00783AC7"/>
    <w:rsid w:val="00783C10"/>
    <w:rsid w:val="00783CFE"/>
    <w:rsid w:val="00783F4D"/>
    <w:rsid w:val="0078448C"/>
    <w:rsid w:val="00784780"/>
    <w:rsid w:val="00784C39"/>
    <w:rsid w:val="00785767"/>
    <w:rsid w:val="00785C2C"/>
    <w:rsid w:val="00786198"/>
    <w:rsid w:val="00786373"/>
    <w:rsid w:val="00786550"/>
    <w:rsid w:val="007867E2"/>
    <w:rsid w:val="00786802"/>
    <w:rsid w:val="00786911"/>
    <w:rsid w:val="00786CEA"/>
    <w:rsid w:val="00786D49"/>
    <w:rsid w:val="00787034"/>
    <w:rsid w:val="0078777A"/>
    <w:rsid w:val="00787908"/>
    <w:rsid w:val="00787ADD"/>
    <w:rsid w:val="00787B68"/>
    <w:rsid w:val="00787C09"/>
    <w:rsid w:val="00790003"/>
    <w:rsid w:val="0079030D"/>
    <w:rsid w:val="0079044F"/>
    <w:rsid w:val="007905E1"/>
    <w:rsid w:val="0079083A"/>
    <w:rsid w:val="00790A55"/>
    <w:rsid w:val="00790D63"/>
    <w:rsid w:val="00790ED8"/>
    <w:rsid w:val="00790FB6"/>
    <w:rsid w:val="00791133"/>
    <w:rsid w:val="00791175"/>
    <w:rsid w:val="007915F5"/>
    <w:rsid w:val="00791FC6"/>
    <w:rsid w:val="007925FE"/>
    <w:rsid w:val="00792678"/>
    <w:rsid w:val="007928D5"/>
    <w:rsid w:val="00792D3F"/>
    <w:rsid w:val="00792F91"/>
    <w:rsid w:val="0079301A"/>
    <w:rsid w:val="0079313D"/>
    <w:rsid w:val="007934D0"/>
    <w:rsid w:val="0079363A"/>
    <w:rsid w:val="00793734"/>
    <w:rsid w:val="00793B22"/>
    <w:rsid w:val="00793B2C"/>
    <w:rsid w:val="00793F8B"/>
    <w:rsid w:val="0079432A"/>
    <w:rsid w:val="00794510"/>
    <w:rsid w:val="007947CC"/>
    <w:rsid w:val="00794815"/>
    <w:rsid w:val="00794981"/>
    <w:rsid w:val="00794CCA"/>
    <w:rsid w:val="00794D07"/>
    <w:rsid w:val="00795043"/>
    <w:rsid w:val="00795096"/>
    <w:rsid w:val="0079514D"/>
    <w:rsid w:val="00795395"/>
    <w:rsid w:val="00795498"/>
    <w:rsid w:val="00795658"/>
    <w:rsid w:val="00795712"/>
    <w:rsid w:val="00795742"/>
    <w:rsid w:val="0079585A"/>
    <w:rsid w:val="00795AD0"/>
    <w:rsid w:val="00795C3C"/>
    <w:rsid w:val="00795CA2"/>
    <w:rsid w:val="0079609A"/>
    <w:rsid w:val="00796291"/>
    <w:rsid w:val="007965B2"/>
    <w:rsid w:val="00796ACA"/>
    <w:rsid w:val="00796CA1"/>
    <w:rsid w:val="00796D6D"/>
    <w:rsid w:val="00796E50"/>
    <w:rsid w:val="00797184"/>
    <w:rsid w:val="00797265"/>
    <w:rsid w:val="007972FE"/>
    <w:rsid w:val="007976D3"/>
    <w:rsid w:val="00797E8E"/>
    <w:rsid w:val="007A019A"/>
    <w:rsid w:val="007A0225"/>
    <w:rsid w:val="007A02CE"/>
    <w:rsid w:val="007A05F4"/>
    <w:rsid w:val="007A0667"/>
    <w:rsid w:val="007A066D"/>
    <w:rsid w:val="007A0A37"/>
    <w:rsid w:val="007A0ADD"/>
    <w:rsid w:val="007A0B3B"/>
    <w:rsid w:val="007A0C38"/>
    <w:rsid w:val="007A0D38"/>
    <w:rsid w:val="007A0F3F"/>
    <w:rsid w:val="007A114F"/>
    <w:rsid w:val="007A14A7"/>
    <w:rsid w:val="007A1757"/>
    <w:rsid w:val="007A1887"/>
    <w:rsid w:val="007A2107"/>
    <w:rsid w:val="007A243B"/>
    <w:rsid w:val="007A246E"/>
    <w:rsid w:val="007A2986"/>
    <w:rsid w:val="007A298D"/>
    <w:rsid w:val="007A2DDB"/>
    <w:rsid w:val="007A357C"/>
    <w:rsid w:val="007A366C"/>
    <w:rsid w:val="007A37F8"/>
    <w:rsid w:val="007A3B53"/>
    <w:rsid w:val="007A3DF1"/>
    <w:rsid w:val="007A40C8"/>
    <w:rsid w:val="007A4439"/>
    <w:rsid w:val="007A44C6"/>
    <w:rsid w:val="007A472C"/>
    <w:rsid w:val="007A4E41"/>
    <w:rsid w:val="007A53E8"/>
    <w:rsid w:val="007A570D"/>
    <w:rsid w:val="007A58B6"/>
    <w:rsid w:val="007A590B"/>
    <w:rsid w:val="007A5940"/>
    <w:rsid w:val="007A595A"/>
    <w:rsid w:val="007A59C4"/>
    <w:rsid w:val="007A5AF6"/>
    <w:rsid w:val="007A5C0F"/>
    <w:rsid w:val="007A62AA"/>
    <w:rsid w:val="007A6467"/>
    <w:rsid w:val="007A64A3"/>
    <w:rsid w:val="007A6581"/>
    <w:rsid w:val="007A6725"/>
    <w:rsid w:val="007A6728"/>
    <w:rsid w:val="007A6A1B"/>
    <w:rsid w:val="007A6B95"/>
    <w:rsid w:val="007A6BD6"/>
    <w:rsid w:val="007A6EE1"/>
    <w:rsid w:val="007A6F47"/>
    <w:rsid w:val="007A706A"/>
    <w:rsid w:val="007A724E"/>
    <w:rsid w:val="007A7318"/>
    <w:rsid w:val="007A74F0"/>
    <w:rsid w:val="007A77EC"/>
    <w:rsid w:val="007A781F"/>
    <w:rsid w:val="007A7F2D"/>
    <w:rsid w:val="007B0010"/>
    <w:rsid w:val="007B043E"/>
    <w:rsid w:val="007B05FA"/>
    <w:rsid w:val="007B07ED"/>
    <w:rsid w:val="007B0C48"/>
    <w:rsid w:val="007B0DE0"/>
    <w:rsid w:val="007B0FB6"/>
    <w:rsid w:val="007B1371"/>
    <w:rsid w:val="007B161B"/>
    <w:rsid w:val="007B17F3"/>
    <w:rsid w:val="007B1942"/>
    <w:rsid w:val="007B1B35"/>
    <w:rsid w:val="007B1BAF"/>
    <w:rsid w:val="007B1E32"/>
    <w:rsid w:val="007B2148"/>
    <w:rsid w:val="007B28F4"/>
    <w:rsid w:val="007B2A38"/>
    <w:rsid w:val="007B2AF7"/>
    <w:rsid w:val="007B2C44"/>
    <w:rsid w:val="007B2EF9"/>
    <w:rsid w:val="007B3141"/>
    <w:rsid w:val="007B3457"/>
    <w:rsid w:val="007B3491"/>
    <w:rsid w:val="007B3565"/>
    <w:rsid w:val="007B3961"/>
    <w:rsid w:val="007B3ADF"/>
    <w:rsid w:val="007B3EE3"/>
    <w:rsid w:val="007B44E3"/>
    <w:rsid w:val="007B4608"/>
    <w:rsid w:val="007B4C04"/>
    <w:rsid w:val="007B4EA3"/>
    <w:rsid w:val="007B51A0"/>
    <w:rsid w:val="007B51B1"/>
    <w:rsid w:val="007B526D"/>
    <w:rsid w:val="007B52F8"/>
    <w:rsid w:val="007B53D3"/>
    <w:rsid w:val="007B57AA"/>
    <w:rsid w:val="007B5A27"/>
    <w:rsid w:val="007B5ABD"/>
    <w:rsid w:val="007B5D94"/>
    <w:rsid w:val="007B5EBA"/>
    <w:rsid w:val="007B650C"/>
    <w:rsid w:val="007B6B8F"/>
    <w:rsid w:val="007B6F60"/>
    <w:rsid w:val="007B7081"/>
    <w:rsid w:val="007B70C1"/>
    <w:rsid w:val="007B73CF"/>
    <w:rsid w:val="007B76E4"/>
    <w:rsid w:val="007B7AA7"/>
    <w:rsid w:val="007B7C68"/>
    <w:rsid w:val="007B7E71"/>
    <w:rsid w:val="007C0037"/>
    <w:rsid w:val="007C021C"/>
    <w:rsid w:val="007C040A"/>
    <w:rsid w:val="007C0531"/>
    <w:rsid w:val="007C05BA"/>
    <w:rsid w:val="007C08A6"/>
    <w:rsid w:val="007C0EB0"/>
    <w:rsid w:val="007C13B8"/>
    <w:rsid w:val="007C141E"/>
    <w:rsid w:val="007C1560"/>
    <w:rsid w:val="007C15EA"/>
    <w:rsid w:val="007C166F"/>
    <w:rsid w:val="007C1928"/>
    <w:rsid w:val="007C1B60"/>
    <w:rsid w:val="007C23D4"/>
    <w:rsid w:val="007C2700"/>
    <w:rsid w:val="007C2FAA"/>
    <w:rsid w:val="007C3056"/>
    <w:rsid w:val="007C3144"/>
    <w:rsid w:val="007C3250"/>
    <w:rsid w:val="007C3665"/>
    <w:rsid w:val="007C3869"/>
    <w:rsid w:val="007C3AB1"/>
    <w:rsid w:val="007C3AEC"/>
    <w:rsid w:val="007C3E1B"/>
    <w:rsid w:val="007C3F3C"/>
    <w:rsid w:val="007C4011"/>
    <w:rsid w:val="007C40B1"/>
    <w:rsid w:val="007C43DA"/>
    <w:rsid w:val="007C4786"/>
    <w:rsid w:val="007C478E"/>
    <w:rsid w:val="007C47E4"/>
    <w:rsid w:val="007C4A0B"/>
    <w:rsid w:val="007C4C90"/>
    <w:rsid w:val="007C4E00"/>
    <w:rsid w:val="007C4E5B"/>
    <w:rsid w:val="007C4E8B"/>
    <w:rsid w:val="007C4ECF"/>
    <w:rsid w:val="007C502F"/>
    <w:rsid w:val="007C50AF"/>
    <w:rsid w:val="007C516D"/>
    <w:rsid w:val="007C523C"/>
    <w:rsid w:val="007C5358"/>
    <w:rsid w:val="007C58B5"/>
    <w:rsid w:val="007C59D6"/>
    <w:rsid w:val="007C5A28"/>
    <w:rsid w:val="007C5C49"/>
    <w:rsid w:val="007C5D47"/>
    <w:rsid w:val="007C6045"/>
    <w:rsid w:val="007C6050"/>
    <w:rsid w:val="007C6506"/>
    <w:rsid w:val="007C6B61"/>
    <w:rsid w:val="007C6E1A"/>
    <w:rsid w:val="007C7176"/>
    <w:rsid w:val="007C7281"/>
    <w:rsid w:val="007C7931"/>
    <w:rsid w:val="007C79AF"/>
    <w:rsid w:val="007C7A4E"/>
    <w:rsid w:val="007C7C90"/>
    <w:rsid w:val="007C7F2B"/>
    <w:rsid w:val="007D0036"/>
    <w:rsid w:val="007D07DA"/>
    <w:rsid w:val="007D087E"/>
    <w:rsid w:val="007D08D7"/>
    <w:rsid w:val="007D0C78"/>
    <w:rsid w:val="007D0CE9"/>
    <w:rsid w:val="007D109D"/>
    <w:rsid w:val="007D1107"/>
    <w:rsid w:val="007D1142"/>
    <w:rsid w:val="007D11CB"/>
    <w:rsid w:val="007D1212"/>
    <w:rsid w:val="007D157B"/>
    <w:rsid w:val="007D184D"/>
    <w:rsid w:val="007D1B6D"/>
    <w:rsid w:val="007D2050"/>
    <w:rsid w:val="007D21FE"/>
    <w:rsid w:val="007D2B0F"/>
    <w:rsid w:val="007D2CE0"/>
    <w:rsid w:val="007D30E0"/>
    <w:rsid w:val="007D33DE"/>
    <w:rsid w:val="007D350D"/>
    <w:rsid w:val="007D3558"/>
    <w:rsid w:val="007D3699"/>
    <w:rsid w:val="007D38ED"/>
    <w:rsid w:val="007D394A"/>
    <w:rsid w:val="007D3B66"/>
    <w:rsid w:val="007D3BFD"/>
    <w:rsid w:val="007D3E6F"/>
    <w:rsid w:val="007D4381"/>
    <w:rsid w:val="007D45E3"/>
    <w:rsid w:val="007D4A41"/>
    <w:rsid w:val="007D4AF6"/>
    <w:rsid w:val="007D4D37"/>
    <w:rsid w:val="007D5346"/>
    <w:rsid w:val="007D539E"/>
    <w:rsid w:val="007D54CB"/>
    <w:rsid w:val="007D56D6"/>
    <w:rsid w:val="007D5756"/>
    <w:rsid w:val="007D597E"/>
    <w:rsid w:val="007D5B0F"/>
    <w:rsid w:val="007D5C33"/>
    <w:rsid w:val="007D6295"/>
    <w:rsid w:val="007D6486"/>
    <w:rsid w:val="007D653B"/>
    <w:rsid w:val="007D696E"/>
    <w:rsid w:val="007D697A"/>
    <w:rsid w:val="007D69E5"/>
    <w:rsid w:val="007D6A82"/>
    <w:rsid w:val="007D6DD4"/>
    <w:rsid w:val="007D6F56"/>
    <w:rsid w:val="007D7610"/>
    <w:rsid w:val="007D76C0"/>
    <w:rsid w:val="007D780B"/>
    <w:rsid w:val="007D79E9"/>
    <w:rsid w:val="007D7C3D"/>
    <w:rsid w:val="007D7D8C"/>
    <w:rsid w:val="007D7F36"/>
    <w:rsid w:val="007E002B"/>
    <w:rsid w:val="007E0080"/>
    <w:rsid w:val="007E01A0"/>
    <w:rsid w:val="007E0258"/>
    <w:rsid w:val="007E031D"/>
    <w:rsid w:val="007E0463"/>
    <w:rsid w:val="007E048A"/>
    <w:rsid w:val="007E04C0"/>
    <w:rsid w:val="007E04D3"/>
    <w:rsid w:val="007E0514"/>
    <w:rsid w:val="007E0543"/>
    <w:rsid w:val="007E0596"/>
    <w:rsid w:val="007E0602"/>
    <w:rsid w:val="007E07E5"/>
    <w:rsid w:val="007E0B78"/>
    <w:rsid w:val="007E0C62"/>
    <w:rsid w:val="007E0D70"/>
    <w:rsid w:val="007E0FE1"/>
    <w:rsid w:val="007E1076"/>
    <w:rsid w:val="007E1157"/>
    <w:rsid w:val="007E122E"/>
    <w:rsid w:val="007E12A1"/>
    <w:rsid w:val="007E133C"/>
    <w:rsid w:val="007E1768"/>
    <w:rsid w:val="007E1905"/>
    <w:rsid w:val="007E1BA7"/>
    <w:rsid w:val="007E1EDB"/>
    <w:rsid w:val="007E20F5"/>
    <w:rsid w:val="007E2140"/>
    <w:rsid w:val="007E218E"/>
    <w:rsid w:val="007E267B"/>
    <w:rsid w:val="007E27FE"/>
    <w:rsid w:val="007E2908"/>
    <w:rsid w:val="007E2AA6"/>
    <w:rsid w:val="007E2B9D"/>
    <w:rsid w:val="007E2C2E"/>
    <w:rsid w:val="007E2F93"/>
    <w:rsid w:val="007E31A7"/>
    <w:rsid w:val="007E34BC"/>
    <w:rsid w:val="007E376A"/>
    <w:rsid w:val="007E3817"/>
    <w:rsid w:val="007E39AC"/>
    <w:rsid w:val="007E3D9A"/>
    <w:rsid w:val="007E3FC0"/>
    <w:rsid w:val="007E4080"/>
    <w:rsid w:val="007E42CD"/>
    <w:rsid w:val="007E4632"/>
    <w:rsid w:val="007E4814"/>
    <w:rsid w:val="007E498A"/>
    <w:rsid w:val="007E4B1A"/>
    <w:rsid w:val="007E4E62"/>
    <w:rsid w:val="007E4FE0"/>
    <w:rsid w:val="007E4FF7"/>
    <w:rsid w:val="007E512A"/>
    <w:rsid w:val="007E5295"/>
    <w:rsid w:val="007E52AE"/>
    <w:rsid w:val="007E5384"/>
    <w:rsid w:val="007E553A"/>
    <w:rsid w:val="007E57B2"/>
    <w:rsid w:val="007E59AF"/>
    <w:rsid w:val="007E59DC"/>
    <w:rsid w:val="007E5CB9"/>
    <w:rsid w:val="007E5D50"/>
    <w:rsid w:val="007E5D81"/>
    <w:rsid w:val="007E61BB"/>
    <w:rsid w:val="007E6233"/>
    <w:rsid w:val="007E62F5"/>
    <w:rsid w:val="007E660C"/>
    <w:rsid w:val="007E6781"/>
    <w:rsid w:val="007E691B"/>
    <w:rsid w:val="007E6952"/>
    <w:rsid w:val="007E69DD"/>
    <w:rsid w:val="007E6A77"/>
    <w:rsid w:val="007E6E73"/>
    <w:rsid w:val="007E6FD4"/>
    <w:rsid w:val="007E7320"/>
    <w:rsid w:val="007E769F"/>
    <w:rsid w:val="007E7801"/>
    <w:rsid w:val="007E7B43"/>
    <w:rsid w:val="007E7CC6"/>
    <w:rsid w:val="007E7D47"/>
    <w:rsid w:val="007E7FB3"/>
    <w:rsid w:val="007F0026"/>
    <w:rsid w:val="007F012E"/>
    <w:rsid w:val="007F03EC"/>
    <w:rsid w:val="007F04F2"/>
    <w:rsid w:val="007F0510"/>
    <w:rsid w:val="007F074D"/>
    <w:rsid w:val="007F0879"/>
    <w:rsid w:val="007F09CC"/>
    <w:rsid w:val="007F0A0E"/>
    <w:rsid w:val="007F0D2E"/>
    <w:rsid w:val="007F0DB3"/>
    <w:rsid w:val="007F0FEE"/>
    <w:rsid w:val="007F133C"/>
    <w:rsid w:val="007F1545"/>
    <w:rsid w:val="007F1554"/>
    <w:rsid w:val="007F1630"/>
    <w:rsid w:val="007F16A2"/>
    <w:rsid w:val="007F1747"/>
    <w:rsid w:val="007F1D36"/>
    <w:rsid w:val="007F21D3"/>
    <w:rsid w:val="007F2205"/>
    <w:rsid w:val="007F2420"/>
    <w:rsid w:val="007F24F4"/>
    <w:rsid w:val="007F26E4"/>
    <w:rsid w:val="007F27AF"/>
    <w:rsid w:val="007F280C"/>
    <w:rsid w:val="007F2A6A"/>
    <w:rsid w:val="007F3013"/>
    <w:rsid w:val="007F359B"/>
    <w:rsid w:val="007F36A0"/>
    <w:rsid w:val="007F3901"/>
    <w:rsid w:val="007F3A55"/>
    <w:rsid w:val="007F3E23"/>
    <w:rsid w:val="007F3F80"/>
    <w:rsid w:val="007F4116"/>
    <w:rsid w:val="007F42DE"/>
    <w:rsid w:val="007F460C"/>
    <w:rsid w:val="007F4A1A"/>
    <w:rsid w:val="007F4DCA"/>
    <w:rsid w:val="007F4E2E"/>
    <w:rsid w:val="007F5025"/>
    <w:rsid w:val="007F50BF"/>
    <w:rsid w:val="007F51F3"/>
    <w:rsid w:val="007F5346"/>
    <w:rsid w:val="007F5CBE"/>
    <w:rsid w:val="007F5FC4"/>
    <w:rsid w:val="007F6857"/>
    <w:rsid w:val="007F6DA7"/>
    <w:rsid w:val="007F6FD9"/>
    <w:rsid w:val="007F7248"/>
    <w:rsid w:val="007F7414"/>
    <w:rsid w:val="007F762F"/>
    <w:rsid w:val="007F78EC"/>
    <w:rsid w:val="007F7A5E"/>
    <w:rsid w:val="007F7DAF"/>
    <w:rsid w:val="007F7F66"/>
    <w:rsid w:val="007F7F8F"/>
    <w:rsid w:val="00800043"/>
    <w:rsid w:val="0080048F"/>
    <w:rsid w:val="008005E4"/>
    <w:rsid w:val="008006FF"/>
    <w:rsid w:val="00800733"/>
    <w:rsid w:val="00800C03"/>
    <w:rsid w:val="00800C52"/>
    <w:rsid w:val="00800CD8"/>
    <w:rsid w:val="00800E90"/>
    <w:rsid w:val="00800EF0"/>
    <w:rsid w:val="00800F40"/>
    <w:rsid w:val="00800F4E"/>
    <w:rsid w:val="00800FAA"/>
    <w:rsid w:val="008012E7"/>
    <w:rsid w:val="008012E9"/>
    <w:rsid w:val="0080150D"/>
    <w:rsid w:val="00801B1E"/>
    <w:rsid w:val="00801BC5"/>
    <w:rsid w:val="008020F3"/>
    <w:rsid w:val="008025BF"/>
    <w:rsid w:val="0080263D"/>
    <w:rsid w:val="00802819"/>
    <w:rsid w:val="00802873"/>
    <w:rsid w:val="008029C6"/>
    <w:rsid w:val="00802A8A"/>
    <w:rsid w:val="00802D2A"/>
    <w:rsid w:val="008032C7"/>
    <w:rsid w:val="00803335"/>
    <w:rsid w:val="008033D3"/>
    <w:rsid w:val="00803490"/>
    <w:rsid w:val="0080362F"/>
    <w:rsid w:val="00803697"/>
    <w:rsid w:val="008037D0"/>
    <w:rsid w:val="00803F5F"/>
    <w:rsid w:val="00803F7B"/>
    <w:rsid w:val="0080428E"/>
    <w:rsid w:val="008047E3"/>
    <w:rsid w:val="008047F8"/>
    <w:rsid w:val="0080499B"/>
    <w:rsid w:val="00804D95"/>
    <w:rsid w:val="00804DD8"/>
    <w:rsid w:val="00804F4F"/>
    <w:rsid w:val="008054CE"/>
    <w:rsid w:val="00805543"/>
    <w:rsid w:val="00805682"/>
    <w:rsid w:val="008056D5"/>
    <w:rsid w:val="008057D3"/>
    <w:rsid w:val="00805947"/>
    <w:rsid w:val="008060FD"/>
    <w:rsid w:val="008062C9"/>
    <w:rsid w:val="0080639C"/>
    <w:rsid w:val="008064F0"/>
    <w:rsid w:val="00806568"/>
    <w:rsid w:val="008067B8"/>
    <w:rsid w:val="00806976"/>
    <w:rsid w:val="00806B85"/>
    <w:rsid w:val="00806C45"/>
    <w:rsid w:val="00806C68"/>
    <w:rsid w:val="00806E80"/>
    <w:rsid w:val="00806EA1"/>
    <w:rsid w:val="00806EDA"/>
    <w:rsid w:val="00806FE9"/>
    <w:rsid w:val="00807371"/>
    <w:rsid w:val="00807807"/>
    <w:rsid w:val="008078B9"/>
    <w:rsid w:val="008079B2"/>
    <w:rsid w:val="00807A0F"/>
    <w:rsid w:val="00807A6B"/>
    <w:rsid w:val="00807C53"/>
    <w:rsid w:val="00807C8D"/>
    <w:rsid w:val="008102B1"/>
    <w:rsid w:val="008103DA"/>
    <w:rsid w:val="008104AC"/>
    <w:rsid w:val="008107BE"/>
    <w:rsid w:val="00810976"/>
    <w:rsid w:val="00810A5A"/>
    <w:rsid w:val="00810C9B"/>
    <w:rsid w:val="00810CB2"/>
    <w:rsid w:val="00810EE3"/>
    <w:rsid w:val="00810F0B"/>
    <w:rsid w:val="00810FB8"/>
    <w:rsid w:val="00811359"/>
    <w:rsid w:val="00811568"/>
    <w:rsid w:val="00811A62"/>
    <w:rsid w:val="00811A99"/>
    <w:rsid w:val="00811B7B"/>
    <w:rsid w:val="00812084"/>
    <w:rsid w:val="00812A56"/>
    <w:rsid w:val="00812E9F"/>
    <w:rsid w:val="008130C3"/>
    <w:rsid w:val="00813257"/>
    <w:rsid w:val="0081343B"/>
    <w:rsid w:val="0081386F"/>
    <w:rsid w:val="008138F7"/>
    <w:rsid w:val="00813A09"/>
    <w:rsid w:val="00813A68"/>
    <w:rsid w:val="00813A9E"/>
    <w:rsid w:val="00813CC2"/>
    <w:rsid w:val="00813F52"/>
    <w:rsid w:val="00814760"/>
    <w:rsid w:val="008148F3"/>
    <w:rsid w:val="00814C00"/>
    <w:rsid w:val="00815109"/>
    <w:rsid w:val="0081515F"/>
    <w:rsid w:val="00815174"/>
    <w:rsid w:val="00815315"/>
    <w:rsid w:val="0081534D"/>
    <w:rsid w:val="008153E6"/>
    <w:rsid w:val="008153FE"/>
    <w:rsid w:val="008155E1"/>
    <w:rsid w:val="00815603"/>
    <w:rsid w:val="00815BBA"/>
    <w:rsid w:val="00815C6C"/>
    <w:rsid w:val="00815DDD"/>
    <w:rsid w:val="00815F57"/>
    <w:rsid w:val="00815FD3"/>
    <w:rsid w:val="00816163"/>
    <w:rsid w:val="008162B2"/>
    <w:rsid w:val="00816BDD"/>
    <w:rsid w:val="00816C4A"/>
    <w:rsid w:val="00816CC1"/>
    <w:rsid w:val="00816D11"/>
    <w:rsid w:val="00817607"/>
    <w:rsid w:val="00817940"/>
    <w:rsid w:val="008179AA"/>
    <w:rsid w:val="00817BC4"/>
    <w:rsid w:val="00817D5E"/>
    <w:rsid w:val="00817F01"/>
    <w:rsid w:val="00817F83"/>
    <w:rsid w:val="008200BD"/>
    <w:rsid w:val="0082015F"/>
    <w:rsid w:val="0082035D"/>
    <w:rsid w:val="0082064E"/>
    <w:rsid w:val="00820717"/>
    <w:rsid w:val="00820783"/>
    <w:rsid w:val="0082089A"/>
    <w:rsid w:val="00820AE0"/>
    <w:rsid w:val="00820B19"/>
    <w:rsid w:val="008214D1"/>
    <w:rsid w:val="008215EC"/>
    <w:rsid w:val="00821684"/>
    <w:rsid w:val="008216D1"/>
    <w:rsid w:val="00821A71"/>
    <w:rsid w:val="00821BFA"/>
    <w:rsid w:val="00821D71"/>
    <w:rsid w:val="00821F0D"/>
    <w:rsid w:val="00822484"/>
    <w:rsid w:val="00822511"/>
    <w:rsid w:val="008228F8"/>
    <w:rsid w:val="0082297D"/>
    <w:rsid w:val="00822A9C"/>
    <w:rsid w:val="00822B11"/>
    <w:rsid w:val="00822ED3"/>
    <w:rsid w:val="008231FA"/>
    <w:rsid w:val="00823619"/>
    <w:rsid w:val="008237CB"/>
    <w:rsid w:val="008239C3"/>
    <w:rsid w:val="00823AD1"/>
    <w:rsid w:val="00823B6C"/>
    <w:rsid w:val="00823BEB"/>
    <w:rsid w:val="00823D0A"/>
    <w:rsid w:val="00823D9F"/>
    <w:rsid w:val="00823E1E"/>
    <w:rsid w:val="00824177"/>
    <w:rsid w:val="008241F8"/>
    <w:rsid w:val="00824642"/>
    <w:rsid w:val="00824751"/>
    <w:rsid w:val="008247A1"/>
    <w:rsid w:val="0082489D"/>
    <w:rsid w:val="008248F6"/>
    <w:rsid w:val="00824C81"/>
    <w:rsid w:val="00824FDA"/>
    <w:rsid w:val="0082519A"/>
    <w:rsid w:val="00825227"/>
    <w:rsid w:val="00825825"/>
    <w:rsid w:val="00825842"/>
    <w:rsid w:val="0082595F"/>
    <w:rsid w:val="00825BB0"/>
    <w:rsid w:val="00825C8A"/>
    <w:rsid w:val="00825DD2"/>
    <w:rsid w:val="008260AB"/>
    <w:rsid w:val="008264DC"/>
    <w:rsid w:val="008269D3"/>
    <w:rsid w:val="00826C39"/>
    <w:rsid w:val="00826E0C"/>
    <w:rsid w:val="008277A8"/>
    <w:rsid w:val="00827BEB"/>
    <w:rsid w:val="00827C11"/>
    <w:rsid w:val="00827E86"/>
    <w:rsid w:val="00830098"/>
    <w:rsid w:val="0083040B"/>
    <w:rsid w:val="008305F4"/>
    <w:rsid w:val="00830621"/>
    <w:rsid w:val="008306D2"/>
    <w:rsid w:val="00830724"/>
    <w:rsid w:val="0083097A"/>
    <w:rsid w:val="00830CC2"/>
    <w:rsid w:val="00830D89"/>
    <w:rsid w:val="00830D9F"/>
    <w:rsid w:val="00830DFB"/>
    <w:rsid w:val="00830F99"/>
    <w:rsid w:val="0083132A"/>
    <w:rsid w:val="008315F4"/>
    <w:rsid w:val="008316BC"/>
    <w:rsid w:val="00831F87"/>
    <w:rsid w:val="0083234F"/>
    <w:rsid w:val="00832392"/>
    <w:rsid w:val="008326F2"/>
    <w:rsid w:val="00832749"/>
    <w:rsid w:val="00832777"/>
    <w:rsid w:val="00832873"/>
    <w:rsid w:val="00832A42"/>
    <w:rsid w:val="00832CA0"/>
    <w:rsid w:val="00832EC4"/>
    <w:rsid w:val="00832F4D"/>
    <w:rsid w:val="0083316B"/>
    <w:rsid w:val="008333E1"/>
    <w:rsid w:val="0083357D"/>
    <w:rsid w:val="00834020"/>
    <w:rsid w:val="00834109"/>
    <w:rsid w:val="0083422B"/>
    <w:rsid w:val="0083456F"/>
    <w:rsid w:val="0083462B"/>
    <w:rsid w:val="008346A1"/>
    <w:rsid w:val="0083479B"/>
    <w:rsid w:val="00834A95"/>
    <w:rsid w:val="00834B3C"/>
    <w:rsid w:val="00834C67"/>
    <w:rsid w:val="00834E4E"/>
    <w:rsid w:val="00834FDF"/>
    <w:rsid w:val="008352B5"/>
    <w:rsid w:val="00835418"/>
    <w:rsid w:val="008354A7"/>
    <w:rsid w:val="00835AED"/>
    <w:rsid w:val="00835B58"/>
    <w:rsid w:val="00835CCC"/>
    <w:rsid w:val="00835D0E"/>
    <w:rsid w:val="00835F47"/>
    <w:rsid w:val="008360C9"/>
    <w:rsid w:val="008363FA"/>
    <w:rsid w:val="0083647E"/>
    <w:rsid w:val="00836556"/>
    <w:rsid w:val="008366E6"/>
    <w:rsid w:val="0083674A"/>
    <w:rsid w:val="00836CD1"/>
    <w:rsid w:val="00836ECD"/>
    <w:rsid w:val="00837049"/>
    <w:rsid w:val="008373F2"/>
    <w:rsid w:val="0083750E"/>
    <w:rsid w:val="008377D0"/>
    <w:rsid w:val="008378E6"/>
    <w:rsid w:val="00837985"/>
    <w:rsid w:val="00837F69"/>
    <w:rsid w:val="0084049C"/>
    <w:rsid w:val="008405D6"/>
    <w:rsid w:val="008408C1"/>
    <w:rsid w:val="00840C12"/>
    <w:rsid w:val="00840DAC"/>
    <w:rsid w:val="00840E48"/>
    <w:rsid w:val="00840F0F"/>
    <w:rsid w:val="00841702"/>
    <w:rsid w:val="008417D0"/>
    <w:rsid w:val="00841894"/>
    <w:rsid w:val="00841A14"/>
    <w:rsid w:val="00841DF0"/>
    <w:rsid w:val="00842174"/>
    <w:rsid w:val="00842313"/>
    <w:rsid w:val="0084244A"/>
    <w:rsid w:val="00842452"/>
    <w:rsid w:val="0084270A"/>
    <w:rsid w:val="00842770"/>
    <w:rsid w:val="00842C71"/>
    <w:rsid w:val="00842C8A"/>
    <w:rsid w:val="00842CC6"/>
    <w:rsid w:val="00842F9C"/>
    <w:rsid w:val="008439C2"/>
    <w:rsid w:val="008439D7"/>
    <w:rsid w:val="008439E7"/>
    <w:rsid w:val="00843BCE"/>
    <w:rsid w:val="00843F7B"/>
    <w:rsid w:val="008443B4"/>
    <w:rsid w:val="00844773"/>
    <w:rsid w:val="0084490D"/>
    <w:rsid w:val="0084535F"/>
    <w:rsid w:val="008453AE"/>
    <w:rsid w:val="00845B0C"/>
    <w:rsid w:val="00845B99"/>
    <w:rsid w:val="00845C44"/>
    <w:rsid w:val="00845C47"/>
    <w:rsid w:val="00845EA5"/>
    <w:rsid w:val="0084642D"/>
    <w:rsid w:val="00846461"/>
    <w:rsid w:val="008464B1"/>
    <w:rsid w:val="00846841"/>
    <w:rsid w:val="00846A3C"/>
    <w:rsid w:val="00846C5D"/>
    <w:rsid w:val="00846D01"/>
    <w:rsid w:val="00847164"/>
    <w:rsid w:val="008471A1"/>
    <w:rsid w:val="00847307"/>
    <w:rsid w:val="008475FC"/>
    <w:rsid w:val="00847AC8"/>
    <w:rsid w:val="00847B56"/>
    <w:rsid w:val="00847CB3"/>
    <w:rsid w:val="00847FA6"/>
    <w:rsid w:val="0084A0B0"/>
    <w:rsid w:val="00850335"/>
    <w:rsid w:val="00850478"/>
    <w:rsid w:val="0085054B"/>
    <w:rsid w:val="00850F77"/>
    <w:rsid w:val="00851197"/>
    <w:rsid w:val="0085194B"/>
    <w:rsid w:val="00851A8F"/>
    <w:rsid w:val="00851BC9"/>
    <w:rsid w:val="00851C7D"/>
    <w:rsid w:val="00851EC2"/>
    <w:rsid w:val="00851F23"/>
    <w:rsid w:val="008523D6"/>
    <w:rsid w:val="008526D9"/>
    <w:rsid w:val="0085271A"/>
    <w:rsid w:val="0085278F"/>
    <w:rsid w:val="0085295D"/>
    <w:rsid w:val="00852A08"/>
    <w:rsid w:val="00852A12"/>
    <w:rsid w:val="00852A14"/>
    <w:rsid w:val="00852AC7"/>
    <w:rsid w:val="00852D80"/>
    <w:rsid w:val="00852DE7"/>
    <w:rsid w:val="00852F53"/>
    <w:rsid w:val="00852FB7"/>
    <w:rsid w:val="00853087"/>
    <w:rsid w:val="008532C5"/>
    <w:rsid w:val="008532DC"/>
    <w:rsid w:val="00853440"/>
    <w:rsid w:val="00853453"/>
    <w:rsid w:val="00853A3A"/>
    <w:rsid w:val="00853CE1"/>
    <w:rsid w:val="00853DA8"/>
    <w:rsid w:val="00853F09"/>
    <w:rsid w:val="00853F37"/>
    <w:rsid w:val="00854135"/>
    <w:rsid w:val="008544B6"/>
    <w:rsid w:val="0085456A"/>
    <w:rsid w:val="00854650"/>
    <w:rsid w:val="008546F2"/>
    <w:rsid w:val="00854719"/>
    <w:rsid w:val="0085475D"/>
    <w:rsid w:val="00854AD3"/>
    <w:rsid w:val="00854E51"/>
    <w:rsid w:val="00854E76"/>
    <w:rsid w:val="00854EF7"/>
    <w:rsid w:val="00854F70"/>
    <w:rsid w:val="0085531F"/>
    <w:rsid w:val="0085538B"/>
    <w:rsid w:val="00855475"/>
    <w:rsid w:val="0085568B"/>
    <w:rsid w:val="008556E5"/>
    <w:rsid w:val="008557D6"/>
    <w:rsid w:val="008559F1"/>
    <w:rsid w:val="00855EC7"/>
    <w:rsid w:val="00855FD9"/>
    <w:rsid w:val="0085669C"/>
    <w:rsid w:val="0085712C"/>
    <w:rsid w:val="00857198"/>
    <w:rsid w:val="008573D3"/>
    <w:rsid w:val="008574C9"/>
    <w:rsid w:val="008577C3"/>
    <w:rsid w:val="008579FF"/>
    <w:rsid w:val="00857A0C"/>
    <w:rsid w:val="00857BA3"/>
    <w:rsid w:val="00857D07"/>
    <w:rsid w:val="00857E89"/>
    <w:rsid w:val="00857F10"/>
    <w:rsid w:val="0086058B"/>
    <w:rsid w:val="008607B9"/>
    <w:rsid w:val="008608B4"/>
    <w:rsid w:val="00860904"/>
    <w:rsid w:val="0086097C"/>
    <w:rsid w:val="00860B4D"/>
    <w:rsid w:val="00860D54"/>
    <w:rsid w:val="008610B2"/>
    <w:rsid w:val="00861254"/>
    <w:rsid w:val="008613C6"/>
    <w:rsid w:val="00861B0D"/>
    <w:rsid w:val="00861C84"/>
    <w:rsid w:val="00861DAB"/>
    <w:rsid w:val="00861EE7"/>
    <w:rsid w:val="0086222F"/>
    <w:rsid w:val="00862374"/>
    <w:rsid w:val="0086240A"/>
    <w:rsid w:val="008624C1"/>
    <w:rsid w:val="00862721"/>
    <w:rsid w:val="00862A34"/>
    <w:rsid w:val="00862A3C"/>
    <w:rsid w:val="00862D26"/>
    <w:rsid w:val="00862E45"/>
    <w:rsid w:val="00863003"/>
    <w:rsid w:val="00863114"/>
    <w:rsid w:val="008635A0"/>
    <w:rsid w:val="00863626"/>
    <w:rsid w:val="008636C6"/>
    <w:rsid w:val="00863E55"/>
    <w:rsid w:val="00863E65"/>
    <w:rsid w:val="00864624"/>
    <w:rsid w:val="00864769"/>
    <w:rsid w:val="00864A67"/>
    <w:rsid w:val="00864B3D"/>
    <w:rsid w:val="00864BC6"/>
    <w:rsid w:val="00864E9C"/>
    <w:rsid w:val="0086507F"/>
    <w:rsid w:val="00865134"/>
    <w:rsid w:val="00865250"/>
    <w:rsid w:val="00865297"/>
    <w:rsid w:val="008652BB"/>
    <w:rsid w:val="00865926"/>
    <w:rsid w:val="008659CC"/>
    <w:rsid w:val="00865F37"/>
    <w:rsid w:val="0086602E"/>
    <w:rsid w:val="0086609A"/>
    <w:rsid w:val="00866586"/>
    <w:rsid w:val="00866AE9"/>
    <w:rsid w:val="00866CF6"/>
    <w:rsid w:val="00866DF9"/>
    <w:rsid w:val="00866DFB"/>
    <w:rsid w:val="00866F57"/>
    <w:rsid w:val="008673B5"/>
    <w:rsid w:val="008674C5"/>
    <w:rsid w:val="0086755C"/>
    <w:rsid w:val="00867876"/>
    <w:rsid w:val="00867B11"/>
    <w:rsid w:val="00867F13"/>
    <w:rsid w:val="0087021E"/>
    <w:rsid w:val="008706CD"/>
    <w:rsid w:val="008711FB"/>
    <w:rsid w:val="00871371"/>
    <w:rsid w:val="00871624"/>
    <w:rsid w:val="008718B1"/>
    <w:rsid w:val="00871943"/>
    <w:rsid w:val="008719D7"/>
    <w:rsid w:val="00872211"/>
    <w:rsid w:val="0087234D"/>
    <w:rsid w:val="008724D0"/>
    <w:rsid w:val="008724EB"/>
    <w:rsid w:val="0087270D"/>
    <w:rsid w:val="00872D77"/>
    <w:rsid w:val="00872D98"/>
    <w:rsid w:val="00872E34"/>
    <w:rsid w:val="00872EEC"/>
    <w:rsid w:val="008730CC"/>
    <w:rsid w:val="0087373C"/>
    <w:rsid w:val="008738B0"/>
    <w:rsid w:val="00873B72"/>
    <w:rsid w:val="00874034"/>
    <w:rsid w:val="00874C29"/>
    <w:rsid w:val="00874E14"/>
    <w:rsid w:val="00874ED4"/>
    <w:rsid w:val="00874F5A"/>
    <w:rsid w:val="00874FA0"/>
    <w:rsid w:val="0087501E"/>
    <w:rsid w:val="008753A9"/>
    <w:rsid w:val="00875496"/>
    <w:rsid w:val="008754E7"/>
    <w:rsid w:val="00875589"/>
    <w:rsid w:val="00875688"/>
    <w:rsid w:val="008758A7"/>
    <w:rsid w:val="008758F7"/>
    <w:rsid w:val="0087597B"/>
    <w:rsid w:val="00875EFA"/>
    <w:rsid w:val="00875FC1"/>
    <w:rsid w:val="0087618B"/>
    <w:rsid w:val="008762AB"/>
    <w:rsid w:val="0087668D"/>
    <w:rsid w:val="008768BA"/>
    <w:rsid w:val="008769DF"/>
    <w:rsid w:val="00876B3B"/>
    <w:rsid w:val="00876C0F"/>
    <w:rsid w:val="00876E75"/>
    <w:rsid w:val="008775BE"/>
    <w:rsid w:val="008775E0"/>
    <w:rsid w:val="00877A80"/>
    <w:rsid w:val="00877BED"/>
    <w:rsid w:val="00877CB6"/>
    <w:rsid w:val="00877DE8"/>
    <w:rsid w:val="0088001B"/>
    <w:rsid w:val="008800E3"/>
    <w:rsid w:val="008800E8"/>
    <w:rsid w:val="00880275"/>
    <w:rsid w:val="00880300"/>
    <w:rsid w:val="008805C3"/>
    <w:rsid w:val="0088068B"/>
    <w:rsid w:val="00880740"/>
    <w:rsid w:val="00880790"/>
    <w:rsid w:val="008807EF"/>
    <w:rsid w:val="00880E70"/>
    <w:rsid w:val="008810D7"/>
    <w:rsid w:val="00881228"/>
    <w:rsid w:val="0088133A"/>
    <w:rsid w:val="00881428"/>
    <w:rsid w:val="008814CD"/>
    <w:rsid w:val="00881767"/>
    <w:rsid w:val="00881882"/>
    <w:rsid w:val="0088194D"/>
    <w:rsid w:val="00881976"/>
    <w:rsid w:val="00881990"/>
    <w:rsid w:val="00881B70"/>
    <w:rsid w:val="00882066"/>
    <w:rsid w:val="00882086"/>
    <w:rsid w:val="0088214D"/>
    <w:rsid w:val="00882359"/>
    <w:rsid w:val="00882515"/>
    <w:rsid w:val="008826E1"/>
    <w:rsid w:val="0088271C"/>
    <w:rsid w:val="00882B10"/>
    <w:rsid w:val="00882D4D"/>
    <w:rsid w:val="00882F32"/>
    <w:rsid w:val="008839B8"/>
    <w:rsid w:val="00883A5B"/>
    <w:rsid w:val="00883CC7"/>
    <w:rsid w:val="00883E05"/>
    <w:rsid w:val="0088416D"/>
    <w:rsid w:val="00884214"/>
    <w:rsid w:val="00884581"/>
    <w:rsid w:val="008847C0"/>
    <w:rsid w:val="00884B0C"/>
    <w:rsid w:val="00884B37"/>
    <w:rsid w:val="00884C8A"/>
    <w:rsid w:val="00884D33"/>
    <w:rsid w:val="00884F2D"/>
    <w:rsid w:val="00884F3F"/>
    <w:rsid w:val="00884FDA"/>
    <w:rsid w:val="00885092"/>
    <w:rsid w:val="008855C6"/>
    <w:rsid w:val="008856A8"/>
    <w:rsid w:val="0088570C"/>
    <w:rsid w:val="008859F9"/>
    <w:rsid w:val="0088642D"/>
    <w:rsid w:val="00886596"/>
    <w:rsid w:val="008870A6"/>
    <w:rsid w:val="008871D7"/>
    <w:rsid w:val="00887762"/>
    <w:rsid w:val="0088779F"/>
    <w:rsid w:val="00887977"/>
    <w:rsid w:val="00887AE2"/>
    <w:rsid w:val="00887F93"/>
    <w:rsid w:val="0089028B"/>
    <w:rsid w:val="00890573"/>
    <w:rsid w:val="00890586"/>
    <w:rsid w:val="008909D8"/>
    <w:rsid w:val="008909E1"/>
    <w:rsid w:val="0089116B"/>
    <w:rsid w:val="008914E1"/>
    <w:rsid w:val="00891536"/>
    <w:rsid w:val="008915C4"/>
    <w:rsid w:val="00891748"/>
    <w:rsid w:val="0089174C"/>
    <w:rsid w:val="0089175D"/>
    <w:rsid w:val="008917A1"/>
    <w:rsid w:val="00891943"/>
    <w:rsid w:val="00891981"/>
    <w:rsid w:val="008919AA"/>
    <w:rsid w:val="008919EB"/>
    <w:rsid w:val="00891B70"/>
    <w:rsid w:val="00891F49"/>
    <w:rsid w:val="008920EC"/>
    <w:rsid w:val="00892167"/>
    <w:rsid w:val="008926B0"/>
    <w:rsid w:val="00892862"/>
    <w:rsid w:val="00892C44"/>
    <w:rsid w:val="00892FD7"/>
    <w:rsid w:val="0089315F"/>
    <w:rsid w:val="008931CC"/>
    <w:rsid w:val="00893247"/>
    <w:rsid w:val="008932E2"/>
    <w:rsid w:val="008933E6"/>
    <w:rsid w:val="00893412"/>
    <w:rsid w:val="008937D5"/>
    <w:rsid w:val="008940DA"/>
    <w:rsid w:val="0089412E"/>
    <w:rsid w:val="00894CC5"/>
    <w:rsid w:val="00894D39"/>
    <w:rsid w:val="0089540B"/>
    <w:rsid w:val="0089548C"/>
    <w:rsid w:val="00895840"/>
    <w:rsid w:val="00895AAB"/>
    <w:rsid w:val="00895DB3"/>
    <w:rsid w:val="00896045"/>
    <w:rsid w:val="008960BD"/>
    <w:rsid w:val="00896149"/>
    <w:rsid w:val="008966D4"/>
    <w:rsid w:val="00896A5C"/>
    <w:rsid w:val="00896AA4"/>
    <w:rsid w:val="0089720B"/>
    <w:rsid w:val="008975EF"/>
    <w:rsid w:val="0089769F"/>
    <w:rsid w:val="00897F31"/>
    <w:rsid w:val="008A0144"/>
    <w:rsid w:val="008A0201"/>
    <w:rsid w:val="008A037C"/>
    <w:rsid w:val="008A073C"/>
    <w:rsid w:val="008A074B"/>
    <w:rsid w:val="008A0C04"/>
    <w:rsid w:val="008A0C6A"/>
    <w:rsid w:val="008A0DF9"/>
    <w:rsid w:val="008A0F2E"/>
    <w:rsid w:val="008A0FA2"/>
    <w:rsid w:val="008A1219"/>
    <w:rsid w:val="008A13DD"/>
    <w:rsid w:val="008A18C7"/>
    <w:rsid w:val="008A19A6"/>
    <w:rsid w:val="008A1CC3"/>
    <w:rsid w:val="008A1CFC"/>
    <w:rsid w:val="008A1F26"/>
    <w:rsid w:val="008A20AE"/>
    <w:rsid w:val="008A2112"/>
    <w:rsid w:val="008A2359"/>
    <w:rsid w:val="008A252E"/>
    <w:rsid w:val="008A2A1B"/>
    <w:rsid w:val="008A2BC7"/>
    <w:rsid w:val="008A2C5D"/>
    <w:rsid w:val="008A2D99"/>
    <w:rsid w:val="008A2DB4"/>
    <w:rsid w:val="008A2FA1"/>
    <w:rsid w:val="008A3043"/>
    <w:rsid w:val="008A3074"/>
    <w:rsid w:val="008A31E6"/>
    <w:rsid w:val="008A3660"/>
    <w:rsid w:val="008A389D"/>
    <w:rsid w:val="008A38F2"/>
    <w:rsid w:val="008A3969"/>
    <w:rsid w:val="008A39CB"/>
    <w:rsid w:val="008A3A66"/>
    <w:rsid w:val="008A3CAE"/>
    <w:rsid w:val="008A3F34"/>
    <w:rsid w:val="008A3F4B"/>
    <w:rsid w:val="008A41F2"/>
    <w:rsid w:val="008A42F7"/>
    <w:rsid w:val="008A45AB"/>
    <w:rsid w:val="008A45C1"/>
    <w:rsid w:val="008A47E9"/>
    <w:rsid w:val="008A47F7"/>
    <w:rsid w:val="008A48BF"/>
    <w:rsid w:val="008A4995"/>
    <w:rsid w:val="008A4B2E"/>
    <w:rsid w:val="008A4B93"/>
    <w:rsid w:val="008A4C61"/>
    <w:rsid w:val="008A4F13"/>
    <w:rsid w:val="008A53CC"/>
    <w:rsid w:val="008A540F"/>
    <w:rsid w:val="008A5705"/>
    <w:rsid w:val="008A5800"/>
    <w:rsid w:val="008A59A5"/>
    <w:rsid w:val="008A618D"/>
    <w:rsid w:val="008A6200"/>
    <w:rsid w:val="008A657A"/>
    <w:rsid w:val="008A675A"/>
    <w:rsid w:val="008A6763"/>
    <w:rsid w:val="008A67B0"/>
    <w:rsid w:val="008A680B"/>
    <w:rsid w:val="008A6A33"/>
    <w:rsid w:val="008A6B0F"/>
    <w:rsid w:val="008A75DC"/>
    <w:rsid w:val="008A7E17"/>
    <w:rsid w:val="008A7FBD"/>
    <w:rsid w:val="008B0355"/>
    <w:rsid w:val="008B0368"/>
    <w:rsid w:val="008B0867"/>
    <w:rsid w:val="008B09F6"/>
    <w:rsid w:val="008B0C10"/>
    <w:rsid w:val="008B0DA2"/>
    <w:rsid w:val="008B13E4"/>
    <w:rsid w:val="008B1980"/>
    <w:rsid w:val="008B1C12"/>
    <w:rsid w:val="008B1C13"/>
    <w:rsid w:val="008B1C87"/>
    <w:rsid w:val="008B1E78"/>
    <w:rsid w:val="008B1FE3"/>
    <w:rsid w:val="008B21C1"/>
    <w:rsid w:val="008B2354"/>
    <w:rsid w:val="008B24B8"/>
    <w:rsid w:val="008B27DB"/>
    <w:rsid w:val="008B28E6"/>
    <w:rsid w:val="008B2998"/>
    <w:rsid w:val="008B2DA8"/>
    <w:rsid w:val="008B2E14"/>
    <w:rsid w:val="008B2EDF"/>
    <w:rsid w:val="008B37E7"/>
    <w:rsid w:val="008B38DB"/>
    <w:rsid w:val="008B3C25"/>
    <w:rsid w:val="008B3E43"/>
    <w:rsid w:val="008B40C3"/>
    <w:rsid w:val="008B436B"/>
    <w:rsid w:val="008B467A"/>
    <w:rsid w:val="008B4A2B"/>
    <w:rsid w:val="008B4A75"/>
    <w:rsid w:val="008B4E80"/>
    <w:rsid w:val="008B4FAF"/>
    <w:rsid w:val="008B52C6"/>
    <w:rsid w:val="008B58A2"/>
    <w:rsid w:val="008B5B12"/>
    <w:rsid w:val="008B5CE2"/>
    <w:rsid w:val="008B648F"/>
    <w:rsid w:val="008B6514"/>
    <w:rsid w:val="008B66E4"/>
    <w:rsid w:val="008B67B1"/>
    <w:rsid w:val="008B67E1"/>
    <w:rsid w:val="008B6AE6"/>
    <w:rsid w:val="008B6B85"/>
    <w:rsid w:val="008B6BD9"/>
    <w:rsid w:val="008B6CEA"/>
    <w:rsid w:val="008B6D37"/>
    <w:rsid w:val="008B6D86"/>
    <w:rsid w:val="008B7125"/>
    <w:rsid w:val="008B72CF"/>
    <w:rsid w:val="008B73E4"/>
    <w:rsid w:val="008B762B"/>
    <w:rsid w:val="008B776D"/>
    <w:rsid w:val="008B79A5"/>
    <w:rsid w:val="008B7A3C"/>
    <w:rsid w:val="008B7C29"/>
    <w:rsid w:val="008B7F2D"/>
    <w:rsid w:val="008C01F5"/>
    <w:rsid w:val="008C02AB"/>
    <w:rsid w:val="008C0553"/>
    <w:rsid w:val="008C09FE"/>
    <w:rsid w:val="008C0AD4"/>
    <w:rsid w:val="008C0CDF"/>
    <w:rsid w:val="008C0EA9"/>
    <w:rsid w:val="008C0EFF"/>
    <w:rsid w:val="008C1079"/>
    <w:rsid w:val="008C113A"/>
    <w:rsid w:val="008C11B9"/>
    <w:rsid w:val="008C1291"/>
    <w:rsid w:val="008C1428"/>
    <w:rsid w:val="008C179A"/>
    <w:rsid w:val="008C185C"/>
    <w:rsid w:val="008C1AB8"/>
    <w:rsid w:val="008C1C26"/>
    <w:rsid w:val="008C1D5A"/>
    <w:rsid w:val="008C2313"/>
    <w:rsid w:val="008C24DF"/>
    <w:rsid w:val="008C261B"/>
    <w:rsid w:val="008C264A"/>
    <w:rsid w:val="008C2676"/>
    <w:rsid w:val="008C282B"/>
    <w:rsid w:val="008C293A"/>
    <w:rsid w:val="008C2946"/>
    <w:rsid w:val="008C2AAD"/>
    <w:rsid w:val="008C2D02"/>
    <w:rsid w:val="008C2E07"/>
    <w:rsid w:val="008C3A5A"/>
    <w:rsid w:val="008C3D22"/>
    <w:rsid w:val="008C4174"/>
    <w:rsid w:val="008C4549"/>
    <w:rsid w:val="008C46F6"/>
    <w:rsid w:val="008C4756"/>
    <w:rsid w:val="008C4820"/>
    <w:rsid w:val="008C4B42"/>
    <w:rsid w:val="008C4CD9"/>
    <w:rsid w:val="008C4E4F"/>
    <w:rsid w:val="008C4F47"/>
    <w:rsid w:val="008C5015"/>
    <w:rsid w:val="008C5060"/>
    <w:rsid w:val="008C5122"/>
    <w:rsid w:val="008C51E2"/>
    <w:rsid w:val="008C5342"/>
    <w:rsid w:val="008C544D"/>
    <w:rsid w:val="008C5840"/>
    <w:rsid w:val="008C5956"/>
    <w:rsid w:val="008C59AD"/>
    <w:rsid w:val="008C5AEC"/>
    <w:rsid w:val="008C5DDF"/>
    <w:rsid w:val="008C605B"/>
    <w:rsid w:val="008C60B2"/>
    <w:rsid w:val="008C6338"/>
    <w:rsid w:val="008C64F7"/>
    <w:rsid w:val="008C657A"/>
    <w:rsid w:val="008C65C9"/>
    <w:rsid w:val="008C670A"/>
    <w:rsid w:val="008C6759"/>
    <w:rsid w:val="008C682A"/>
    <w:rsid w:val="008C6D01"/>
    <w:rsid w:val="008C6D76"/>
    <w:rsid w:val="008C6D93"/>
    <w:rsid w:val="008C6E28"/>
    <w:rsid w:val="008C6F37"/>
    <w:rsid w:val="008C725C"/>
    <w:rsid w:val="008C772C"/>
    <w:rsid w:val="008C77BF"/>
    <w:rsid w:val="008C783A"/>
    <w:rsid w:val="008C7BA3"/>
    <w:rsid w:val="008D00D8"/>
    <w:rsid w:val="008D0410"/>
    <w:rsid w:val="008D0450"/>
    <w:rsid w:val="008D067E"/>
    <w:rsid w:val="008D0908"/>
    <w:rsid w:val="008D0C55"/>
    <w:rsid w:val="008D0E09"/>
    <w:rsid w:val="008D0FFB"/>
    <w:rsid w:val="008D11C8"/>
    <w:rsid w:val="008D12DA"/>
    <w:rsid w:val="008D188C"/>
    <w:rsid w:val="008D1922"/>
    <w:rsid w:val="008D1940"/>
    <w:rsid w:val="008D1CAF"/>
    <w:rsid w:val="008D1CFF"/>
    <w:rsid w:val="008D1D24"/>
    <w:rsid w:val="008D1F0C"/>
    <w:rsid w:val="008D2338"/>
    <w:rsid w:val="008D2810"/>
    <w:rsid w:val="008D28BB"/>
    <w:rsid w:val="008D29C1"/>
    <w:rsid w:val="008D2BFE"/>
    <w:rsid w:val="008D2C70"/>
    <w:rsid w:val="008D2CEC"/>
    <w:rsid w:val="008D2F7A"/>
    <w:rsid w:val="008D2FEB"/>
    <w:rsid w:val="008D3217"/>
    <w:rsid w:val="008D32D3"/>
    <w:rsid w:val="008D35F7"/>
    <w:rsid w:val="008D389E"/>
    <w:rsid w:val="008D3926"/>
    <w:rsid w:val="008D3B86"/>
    <w:rsid w:val="008D3E78"/>
    <w:rsid w:val="008D3FA5"/>
    <w:rsid w:val="008D411E"/>
    <w:rsid w:val="008D45AB"/>
    <w:rsid w:val="008D4708"/>
    <w:rsid w:val="008D49FE"/>
    <w:rsid w:val="008D4DB8"/>
    <w:rsid w:val="008D4E0D"/>
    <w:rsid w:val="008D5118"/>
    <w:rsid w:val="008D514A"/>
    <w:rsid w:val="008D53DB"/>
    <w:rsid w:val="008D54A6"/>
    <w:rsid w:val="008D56E9"/>
    <w:rsid w:val="008D5F60"/>
    <w:rsid w:val="008D6036"/>
    <w:rsid w:val="008D60E4"/>
    <w:rsid w:val="008D6244"/>
    <w:rsid w:val="008D637C"/>
    <w:rsid w:val="008D66DF"/>
    <w:rsid w:val="008D6B50"/>
    <w:rsid w:val="008D6CAE"/>
    <w:rsid w:val="008D6DAA"/>
    <w:rsid w:val="008D7017"/>
    <w:rsid w:val="008D7024"/>
    <w:rsid w:val="008D743D"/>
    <w:rsid w:val="008D7660"/>
    <w:rsid w:val="008D77AC"/>
    <w:rsid w:val="008D77D2"/>
    <w:rsid w:val="008D7858"/>
    <w:rsid w:val="008D7CF5"/>
    <w:rsid w:val="008D7DAD"/>
    <w:rsid w:val="008D7EBC"/>
    <w:rsid w:val="008D7FD8"/>
    <w:rsid w:val="008E01BB"/>
    <w:rsid w:val="008E0720"/>
    <w:rsid w:val="008E0903"/>
    <w:rsid w:val="008E0907"/>
    <w:rsid w:val="008E09D6"/>
    <w:rsid w:val="008E0CFD"/>
    <w:rsid w:val="008E1143"/>
    <w:rsid w:val="008E1332"/>
    <w:rsid w:val="008E139F"/>
    <w:rsid w:val="008E1747"/>
    <w:rsid w:val="008E1831"/>
    <w:rsid w:val="008E1BB0"/>
    <w:rsid w:val="008E1C91"/>
    <w:rsid w:val="008E1F0E"/>
    <w:rsid w:val="008E2179"/>
    <w:rsid w:val="008E2293"/>
    <w:rsid w:val="008E26C5"/>
    <w:rsid w:val="008E29F0"/>
    <w:rsid w:val="008E2B01"/>
    <w:rsid w:val="008E2E0F"/>
    <w:rsid w:val="008E3186"/>
    <w:rsid w:val="008E36D0"/>
    <w:rsid w:val="008E3953"/>
    <w:rsid w:val="008E3B36"/>
    <w:rsid w:val="008E3D47"/>
    <w:rsid w:val="008E3DC7"/>
    <w:rsid w:val="008E42A6"/>
    <w:rsid w:val="008E4343"/>
    <w:rsid w:val="008E44AC"/>
    <w:rsid w:val="008E47E6"/>
    <w:rsid w:val="008E4A7F"/>
    <w:rsid w:val="008E4B05"/>
    <w:rsid w:val="008E4C01"/>
    <w:rsid w:val="008E4EEE"/>
    <w:rsid w:val="008E5063"/>
    <w:rsid w:val="008E51BA"/>
    <w:rsid w:val="008E5219"/>
    <w:rsid w:val="008E58F6"/>
    <w:rsid w:val="008E5B6B"/>
    <w:rsid w:val="008E5C84"/>
    <w:rsid w:val="008E5D07"/>
    <w:rsid w:val="008E5F77"/>
    <w:rsid w:val="008E5FF6"/>
    <w:rsid w:val="008E6170"/>
    <w:rsid w:val="008E655F"/>
    <w:rsid w:val="008E65C4"/>
    <w:rsid w:val="008E67F0"/>
    <w:rsid w:val="008E6944"/>
    <w:rsid w:val="008E6ECC"/>
    <w:rsid w:val="008E6EDB"/>
    <w:rsid w:val="008E6EE9"/>
    <w:rsid w:val="008E7002"/>
    <w:rsid w:val="008E75BC"/>
    <w:rsid w:val="008E799C"/>
    <w:rsid w:val="008E7BE5"/>
    <w:rsid w:val="008E7D38"/>
    <w:rsid w:val="008E7D87"/>
    <w:rsid w:val="008F0199"/>
    <w:rsid w:val="008F0261"/>
    <w:rsid w:val="008F027F"/>
    <w:rsid w:val="008F02E8"/>
    <w:rsid w:val="008F037E"/>
    <w:rsid w:val="008F0BCF"/>
    <w:rsid w:val="008F0E21"/>
    <w:rsid w:val="008F0F85"/>
    <w:rsid w:val="008F13E1"/>
    <w:rsid w:val="008F14F3"/>
    <w:rsid w:val="008F1560"/>
    <w:rsid w:val="008F18D8"/>
    <w:rsid w:val="008F1B2C"/>
    <w:rsid w:val="008F1D22"/>
    <w:rsid w:val="008F2631"/>
    <w:rsid w:val="008F2647"/>
    <w:rsid w:val="008F2935"/>
    <w:rsid w:val="008F2A65"/>
    <w:rsid w:val="008F2BCC"/>
    <w:rsid w:val="008F3593"/>
    <w:rsid w:val="008F37CE"/>
    <w:rsid w:val="008F3963"/>
    <w:rsid w:val="008F3CAD"/>
    <w:rsid w:val="008F3CC5"/>
    <w:rsid w:val="008F3F03"/>
    <w:rsid w:val="008F3FEB"/>
    <w:rsid w:val="008F45BB"/>
    <w:rsid w:val="008F4682"/>
    <w:rsid w:val="008F4912"/>
    <w:rsid w:val="008F49B4"/>
    <w:rsid w:val="008F555A"/>
    <w:rsid w:val="008F5563"/>
    <w:rsid w:val="008F57DE"/>
    <w:rsid w:val="008F5894"/>
    <w:rsid w:val="008F5B47"/>
    <w:rsid w:val="008F5CCA"/>
    <w:rsid w:val="008F5ED5"/>
    <w:rsid w:val="008F621A"/>
    <w:rsid w:val="008F62BF"/>
    <w:rsid w:val="008F67D6"/>
    <w:rsid w:val="008F69ED"/>
    <w:rsid w:val="008F6B38"/>
    <w:rsid w:val="008F6B66"/>
    <w:rsid w:val="008F6F3B"/>
    <w:rsid w:val="008F6FEF"/>
    <w:rsid w:val="008F723F"/>
    <w:rsid w:val="008F7264"/>
    <w:rsid w:val="008F7273"/>
    <w:rsid w:val="008F72CD"/>
    <w:rsid w:val="008F7389"/>
    <w:rsid w:val="008F754F"/>
    <w:rsid w:val="008F75E4"/>
    <w:rsid w:val="008F760B"/>
    <w:rsid w:val="008F761E"/>
    <w:rsid w:val="008F7636"/>
    <w:rsid w:val="008F7B43"/>
    <w:rsid w:val="00900076"/>
    <w:rsid w:val="0090021A"/>
    <w:rsid w:val="00900379"/>
    <w:rsid w:val="009003CB"/>
    <w:rsid w:val="00900703"/>
    <w:rsid w:val="009008E5"/>
    <w:rsid w:val="0090098F"/>
    <w:rsid w:val="009009E2"/>
    <w:rsid w:val="00900E98"/>
    <w:rsid w:val="0090102A"/>
    <w:rsid w:val="0090106E"/>
    <w:rsid w:val="0090113D"/>
    <w:rsid w:val="00901261"/>
    <w:rsid w:val="00901327"/>
    <w:rsid w:val="00901434"/>
    <w:rsid w:val="009015FC"/>
    <w:rsid w:val="009017DB"/>
    <w:rsid w:val="00901E74"/>
    <w:rsid w:val="00901EE4"/>
    <w:rsid w:val="00901FF5"/>
    <w:rsid w:val="009022CD"/>
    <w:rsid w:val="00902347"/>
    <w:rsid w:val="00902369"/>
    <w:rsid w:val="0090286E"/>
    <w:rsid w:val="00902881"/>
    <w:rsid w:val="00902C02"/>
    <w:rsid w:val="00902E28"/>
    <w:rsid w:val="0090382B"/>
    <w:rsid w:val="00903992"/>
    <w:rsid w:val="00903AFF"/>
    <w:rsid w:val="00903D72"/>
    <w:rsid w:val="0090476E"/>
    <w:rsid w:val="00904804"/>
    <w:rsid w:val="0090481A"/>
    <w:rsid w:val="00904864"/>
    <w:rsid w:val="00904E3E"/>
    <w:rsid w:val="0090501A"/>
    <w:rsid w:val="00905093"/>
    <w:rsid w:val="0090535F"/>
    <w:rsid w:val="0090551E"/>
    <w:rsid w:val="009055F7"/>
    <w:rsid w:val="0090597C"/>
    <w:rsid w:val="009059FA"/>
    <w:rsid w:val="00905A5D"/>
    <w:rsid w:val="00905B7D"/>
    <w:rsid w:val="00905CB5"/>
    <w:rsid w:val="00905ED4"/>
    <w:rsid w:val="00905F4C"/>
    <w:rsid w:val="00905FF2"/>
    <w:rsid w:val="00906073"/>
    <w:rsid w:val="009064F2"/>
    <w:rsid w:val="00906765"/>
    <w:rsid w:val="00906A44"/>
    <w:rsid w:val="00906B39"/>
    <w:rsid w:val="00906D38"/>
    <w:rsid w:val="00906DFA"/>
    <w:rsid w:val="009072F6"/>
    <w:rsid w:val="009074EF"/>
    <w:rsid w:val="009077FD"/>
    <w:rsid w:val="00907808"/>
    <w:rsid w:val="00907CA6"/>
    <w:rsid w:val="00907D83"/>
    <w:rsid w:val="00907E72"/>
    <w:rsid w:val="0091004B"/>
    <w:rsid w:val="0091009F"/>
    <w:rsid w:val="009101E6"/>
    <w:rsid w:val="009107E5"/>
    <w:rsid w:val="009108F1"/>
    <w:rsid w:val="00910D30"/>
    <w:rsid w:val="00910D78"/>
    <w:rsid w:val="00910E33"/>
    <w:rsid w:val="00911114"/>
    <w:rsid w:val="00911466"/>
    <w:rsid w:val="009114E2"/>
    <w:rsid w:val="00911533"/>
    <w:rsid w:val="009117EE"/>
    <w:rsid w:val="009122FF"/>
    <w:rsid w:val="0091258A"/>
    <w:rsid w:val="009126FD"/>
    <w:rsid w:val="009128C5"/>
    <w:rsid w:val="00912A4F"/>
    <w:rsid w:val="00912A7C"/>
    <w:rsid w:val="00912A93"/>
    <w:rsid w:val="00912DF7"/>
    <w:rsid w:val="00912FE2"/>
    <w:rsid w:val="009131CC"/>
    <w:rsid w:val="00913244"/>
    <w:rsid w:val="009132B6"/>
    <w:rsid w:val="009133F7"/>
    <w:rsid w:val="009133FC"/>
    <w:rsid w:val="00913475"/>
    <w:rsid w:val="0091351A"/>
    <w:rsid w:val="009139CC"/>
    <w:rsid w:val="00913B6D"/>
    <w:rsid w:val="00913C96"/>
    <w:rsid w:val="00913EF9"/>
    <w:rsid w:val="00913F05"/>
    <w:rsid w:val="00913FC3"/>
    <w:rsid w:val="00914024"/>
    <w:rsid w:val="009143C3"/>
    <w:rsid w:val="0091443A"/>
    <w:rsid w:val="00914536"/>
    <w:rsid w:val="009146C4"/>
    <w:rsid w:val="009146E9"/>
    <w:rsid w:val="00914827"/>
    <w:rsid w:val="00914891"/>
    <w:rsid w:val="00914D47"/>
    <w:rsid w:val="00914E41"/>
    <w:rsid w:val="00914F63"/>
    <w:rsid w:val="00915005"/>
    <w:rsid w:val="009155AE"/>
    <w:rsid w:val="009159ED"/>
    <w:rsid w:val="00915CAA"/>
    <w:rsid w:val="00915D25"/>
    <w:rsid w:val="00915E2A"/>
    <w:rsid w:val="0091612D"/>
    <w:rsid w:val="00916218"/>
    <w:rsid w:val="00916644"/>
    <w:rsid w:val="009166DE"/>
    <w:rsid w:val="00916754"/>
    <w:rsid w:val="009167F8"/>
    <w:rsid w:val="0091683D"/>
    <w:rsid w:val="0091699F"/>
    <w:rsid w:val="00916D7D"/>
    <w:rsid w:val="00916F42"/>
    <w:rsid w:val="00917563"/>
    <w:rsid w:val="00917622"/>
    <w:rsid w:val="009176CD"/>
    <w:rsid w:val="00917777"/>
    <w:rsid w:val="009178A0"/>
    <w:rsid w:val="00917953"/>
    <w:rsid w:val="00917B98"/>
    <w:rsid w:val="00917BAA"/>
    <w:rsid w:val="009201F0"/>
    <w:rsid w:val="00920237"/>
    <w:rsid w:val="009202BE"/>
    <w:rsid w:val="00920332"/>
    <w:rsid w:val="009203F4"/>
    <w:rsid w:val="0092068E"/>
    <w:rsid w:val="00920821"/>
    <w:rsid w:val="00920D0A"/>
    <w:rsid w:val="0092132A"/>
    <w:rsid w:val="009213AF"/>
    <w:rsid w:val="00921420"/>
    <w:rsid w:val="00921A81"/>
    <w:rsid w:val="00921C3A"/>
    <w:rsid w:val="00921DE8"/>
    <w:rsid w:val="00922004"/>
    <w:rsid w:val="00922224"/>
    <w:rsid w:val="009227F2"/>
    <w:rsid w:val="009229ED"/>
    <w:rsid w:val="00922A08"/>
    <w:rsid w:val="00922B5B"/>
    <w:rsid w:val="00922D39"/>
    <w:rsid w:val="00923194"/>
    <w:rsid w:val="009233C2"/>
    <w:rsid w:val="0092353C"/>
    <w:rsid w:val="0092364D"/>
    <w:rsid w:val="00923C8A"/>
    <w:rsid w:val="00923F5B"/>
    <w:rsid w:val="00924035"/>
    <w:rsid w:val="0092412C"/>
    <w:rsid w:val="00924AD6"/>
    <w:rsid w:val="00924D4A"/>
    <w:rsid w:val="00924EAF"/>
    <w:rsid w:val="00924F2A"/>
    <w:rsid w:val="00924F99"/>
    <w:rsid w:val="009259D1"/>
    <w:rsid w:val="00925AA5"/>
    <w:rsid w:val="00926126"/>
    <w:rsid w:val="00926140"/>
    <w:rsid w:val="0092631F"/>
    <w:rsid w:val="009264DD"/>
    <w:rsid w:val="0092676D"/>
    <w:rsid w:val="009268C1"/>
    <w:rsid w:val="00926DA0"/>
    <w:rsid w:val="00926DCA"/>
    <w:rsid w:val="009273D3"/>
    <w:rsid w:val="009274E9"/>
    <w:rsid w:val="009277EE"/>
    <w:rsid w:val="00927972"/>
    <w:rsid w:val="00927CB2"/>
    <w:rsid w:val="0093026F"/>
    <w:rsid w:val="009305C9"/>
    <w:rsid w:val="00930883"/>
    <w:rsid w:val="00930A70"/>
    <w:rsid w:val="00930A90"/>
    <w:rsid w:val="00930EBA"/>
    <w:rsid w:val="00930F6A"/>
    <w:rsid w:val="00930FEA"/>
    <w:rsid w:val="0093117B"/>
    <w:rsid w:val="009312D7"/>
    <w:rsid w:val="0093166E"/>
    <w:rsid w:val="00931A7E"/>
    <w:rsid w:val="00931A94"/>
    <w:rsid w:val="009322F5"/>
    <w:rsid w:val="00932304"/>
    <w:rsid w:val="0093243E"/>
    <w:rsid w:val="0093258B"/>
    <w:rsid w:val="00932804"/>
    <w:rsid w:val="00932893"/>
    <w:rsid w:val="00932923"/>
    <w:rsid w:val="00932E4E"/>
    <w:rsid w:val="00932E53"/>
    <w:rsid w:val="00933580"/>
    <w:rsid w:val="0093386C"/>
    <w:rsid w:val="00933955"/>
    <w:rsid w:val="00933AF9"/>
    <w:rsid w:val="00933C9E"/>
    <w:rsid w:val="00933DE5"/>
    <w:rsid w:val="00933E37"/>
    <w:rsid w:val="009343EC"/>
    <w:rsid w:val="00934449"/>
    <w:rsid w:val="00934480"/>
    <w:rsid w:val="0093450F"/>
    <w:rsid w:val="0093455D"/>
    <w:rsid w:val="009347E3"/>
    <w:rsid w:val="00934895"/>
    <w:rsid w:val="00934B16"/>
    <w:rsid w:val="00934C79"/>
    <w:rsid w:val="0093526C"/>
    <w:rsid w:val="0093562C"/>
    <w:rsid w:val="009356ED"/>
    <w:rsid w:val="00935770"/>
    <w:rsid w:val="00935BF6"/>
    <w:rsid w:val="009361C3"/>
    <w:rsid w:val="009364C9"/>
    <w:rsid w:val="009368D7"/>
    <w:rsid w:val="00936902"/>
    <w:rsid w:val="009369E9"/>
    <w:rsid w:val="00936BDC"/>
    <w:rsid w:val="00936C09"/>
    <w:rsid w:val="00936D49"/>
    <w:rsid w:val="00936FD2"/>
    <w:rsid w:val="0093702E"/>
    <w:rsid w:val="009370D3"/>
    <w:rsid w:val="009370DB"/>
    <w:rsid w:val="009372EA"/>
    <w:rsid w:val="00937770"/>
    <w:rsid w:val="00937C80"/>
    <w:rsid w:val="00937CAD"/>
    <w:rsid w:val="00937CBB"/>
    <w:rsid w:val="00937EA2"/>
    <w:rsid w:val="009402F6"/>
    <w:rsid w:val="0094085D"/>
    <w:rsid w:val="00940B4F"/>
    <w:rsid w:val="00940C81"/>
    <w:rsid w:val="009410B9"/>
    <w:rsid w:val="009410BF"/>
    <w:rsid w:val="009410F1"/>
    <w:rsid w:val="00941104"/>
    <w:rsid w:val="00941562"/>
    <w:rsid w:val="009416F8"/>
    <w:rsid w:val="0094173A"/>
    <w:rsid w:val="0094182C"/>
    <w:rsid w:val="00941C5F"/>
    <w:rsid w:val="00941CCF"/>
    <w:rsid w:val="00941EFC"/>
    <w:rsid w:val="009421B6"/>
    <w:rsid w:val="00942314"/>
    <w:rsid w:val="009427B0"/>
    <w:rsid w:val="00942855"/>
    <w:rsid w:val="00942869"/>
    <w:rsid w:val="00942A04"/>
    <w:rsid w:val="00942A71"/>
    <w:rsid w:val="00942C63"/>
    <w:rsid w:val="00942CC8"/>
    <w:rsid w:val="00942EDA"/>
    <w:rsid w:val="00942F78"/>
    <w:rsid w:val="00943204"/>
    <w:rsid w:val="00943269"/>
    <w:rsid w:val="0094379F"/>
    <w:rsid w:val="00943B36"/>
    <w:rsid w:val="00943CB8"/>
    <w:rsid w:val="00943D64"/>
    <w:rsid w:val="00944156"/>
    <w:rsid w:val="00944235"/>
    <w:rsid w:val="00944280"/>
    <w:rsid w:val="009447BB"/>
    <w:rsid w:val="00944942"/>
    <w:rsid w:val="00944CE9"/>
    <w:rsid w:val="009450AE"/>
    <w:rsid w:val="00945698"/>
    <w:rsid w:val="00945AA6"/>
    <w:rsid w:val="00945C49"/>
    <w:rsid w:val="00945CA6"/>
    <w:rsid w:val="00946274"/>
    <w:rsid w:val="0094639B"/>
    <w:rsid w:val="0094651A"/>
    <w:rsid w:val="00946646"/>
    <w:rsid w:val="009466DA"/>
    <w:rsid w:val="009469C3"/>
    <w:rsid w:val="00946BC7"/>
    <w:rsid w:val="00946CB5"/>
    <w:rsid w:val="00946EEF"/>
    <w:rsid w:val="00947009"/>
    <w:rsid w:val="009473C7"/>
    <w:rsid w:val="009474CC"/>
    <w:rsid w:val="00947613"/>
    <w:rsid w:val="0094764A"/>
    <w:rsid w:val="0094786B"/>
    <w:rsid w:val="00947BE2"/>
    <w:rsid w:val="00947CDA"/>
    <w:rsid w:val="00950038"/>
    <w:rsid w:val="00950130"/>
    <w:rsid w:val="00950184"/>
    <w:rsid w:val="009503DF"/>
    <w:rsid w:val="00950487"/>
    <w:rsid w:val="00950CD9"/>
    <w:rsid w:val="00950E66"/>
    <w:rsid w:val="00950E67"/>
    <w:rsid w:val="009510F1"/>
    <w:rsid w:val="009511DB"/>
    <w:rsid w:val="0095126D"/>
    <w:rsid w:val="009514CA"/>
    <w:rsid w:val="0095165D"/>
    <w:rsid w:val="00951A4A"/>
    <w:rsid w:val="00951DD3"/>
    <w:rsid w:val="00951F1F"/>
    <w:rsid w:val="0095211B"/>
    <w:rsid w:val="0095214F"/>
    <w:rsid w:val="00952185"/>
    <w:rsid w:val="00952558"/>
    <w:rsid w:val="009525BC"/>
    <w:rsid w:val="00952789"/>
    <w:rsid w:val="00952827"/>
    <w:rsid w:val="00952A2E"/>
    <w:rsid w:val="00952C51"/>
    <w:rsid w:val="00952D89"/>
    <w:rsid w:val="00952F7B"/>
    <w:rsid w:val="00952FDE"/>
    <w:rsid w:val="0095310B"/>
    <w:rsid w:val="0095349A"/>
    <w:rsid w:val="0095394A"/>
    <w:rsid w:val="00953A6E"/>
    <w:rsid w:val="00953CA2"/>
    <w:rsid w:val="00953FB4"/>
    <w:rsid w:val="00953FBB"/>
    <w:rsid w:val="00954213"/>
    <w:rsid w:val="009542C3"/>
    <w:rsid w:val="00954904"/>
    <w:rsid w:val="009549F9"/>
    <w:rsid w:val="00954C52"/>
    <w:rsid w:val="00954EF0"/>
    <w:rsid w:val="00954F37"/>
    <w:rsid w:val="00954FBD"/>
    <w:rsid w:val="00955458"/>
    <w:rsid w:val="00955B86"/>
    <w:rsid w:val="00955C19"/>
    <w:rsid w:val="00955E3A"/>
    <w:rsid w:val="0095625E"/>
    <w:rsid w:val="00956505"/>
    <w:rsid w:val="0095664D"/>
    <w:rsid w:val="009569E9"/>
    <w:rsid w:val="00956A57"/>
    <w:rsid w:val="00956AC9"/>
    <w:rsid w:val="00956AE6"/>
    <w:rsid w:val="00956D57"/>
    <w:rsid w:val="00956D85"/>
    <w:rsid w:val="00956D96"/>
    <w:rsid w:val="00956EA4"/>
    <w:rsid w:val="00956EF2"/>
    <w:rsid w:val="00957132"/>
    <w:rsid w:val="00957256"/>
    <w:rsid w:val="0095727C"/>
    <w:rsid w:val="00957654"/>
    <w:rsid w:val="009576CE"/>
    <w:rsid w:val="009578C2"/>
    <w:rsid w:val="00957BFF"/>
    <w:rsid w:val="00957CC9"/>
    <w:rsid w:val="00960144"/>
    <w:rsid w:val="009604CE"/>
    <w:rsid w:val="00960511"/>
    <w:rsid w:val="00960B21"/>
    <w:rsid w:val="00960C3A"/>
    <w:rsid w:val="00960C99"/>
    <w:rsid w:val="00960CF6"/>
    <w:rsid w:val="00960E27"/>
    <w:rsid w:val="00960FF7"/>
    <w:rsid w:val="009612A3"/>
    <w:rsid w:val="00961351"/>
    <w:rsid w:val="009616A8"/>
    <w:rsid w:val="0096188B"/>
    <w:rsid w:val="0096196B"/>
    <w:rsid w:val="00961B1A"/>
    <w:rsid w:val="00962025"/>
    <w:rsid w:val="009623A0"/>
    <w:rsid w:val="009628CF"/>
    <w:rsid w:val="00962B2D"/>
    <w:rsid w:val="00962C9F"/>
    <w:rsid w:val="00962D62"/>
    <w:rsid w:val="00962F5F"/>
    <w:rsid w:val="00963011"/>
    <w:rsid w:val="009631D6"/>
    <w:rsid w:val="00963204"/>
    <w:rsid w:val="00963394"/>
    <w:rsid w:val="009633A0"/>
    <w:rsid w:val="00963406"/>
    <w:rsid w:val="009634C2"/>
    <w:rsid w:val="009636F6"/>
    <w:rsid w:val="0096386E"/>
    <w:rsid w:val="009639D2"/>
    <w:rsid w:val="00963E04"/>
    <w:rsid w:val="00963E19"/>
    <w:rsid w:val="00963F1D"/>
    <w:rsid w:val="009642D1"/>
    <w:rsid w:val="0096471D"/>
    <w:rsid w:val="00964727"/>
    <w:rsid w:val="009648AF"/>
    <w:rsid w:val="0096496B"/>
    <w:rsid w:val="00964982"/>
    <w:rsid w:val="00964AF0"/>
    <w:rsid w:val="00964B04"/>
    <w:rsid w:val="00964BDC"/>
    <w:rsid w:val="00964C9A"/>
    <w:rsid w:val="00964D8A"/>
    <w:rsid w:val="00964F75"/>
    <w:rsid w:val="00964F81"/>
    <w:rsid w:val="0096508C"/>
    <w:rsid w:val="009650D9"/>
    <w:rsid w:val="00965260"/>
    <w:rsid w:val="009652E1"/>
    <w:rsid w:val="009653A1"/>
    <w:rsid w:val="009653D1"/>
    <w:rsid w:val="009654E2"/>
    <w:rsid w:val="009657DB"/>
    <w:rsid w:val="00965942"/>
    <w:rsid w:val="009662AD"/>
    <w:rsid w:val="0096639C"/>
    <w:rsid w:val="00966698"/>
    <w:rsid w:val="009668ED"/>
    <w:rsid w:val="00966AFB"/>
    <w:rsid w:val="00966C6E"/>
    <w:rsid w:val="00967664"/>
    <w:rsid w:val="00967730"/>
    <w:rsid w:val="00967989"/>
    <w:rsid w:val="00967A6D"/>
    <w:rsid w:val="00967B7A"/>
    <w:rsid w:val="00967C3D"/>
    <w:rsid w:val="00967E93"/>
    <w:rsid w:val="0097012E"/>
    <w:rsid w:val="00970366"/>
    <w:rsid w:val="00970485"/>
    <w:rsid w:val="00970537"/>
    <w:rsid w:val="009705BA"/>
    <w:rsid w:val="0097067C"/>
    <w:rsid w:val="00970685"/>
    <w:rsid w:val="00970769"/>
    <w:rsid w:val="009711DA"/>
    <w:rsid w:val="0097120D"/>
    <w:rsid w:val="00971504"/>
    <w:rsid w:val="00971ABA"/>
    <w:rsid w:val="00971C8A"/>
    <w:rsid w:val="00971FD0"/>
    <w:rsid w:val="0097203F"/>
    <w:rsid w:val="009721BC"/>
    <w:rsid w:val="009721C7"/>
    <w:rsid w:val="0097225C"/>
    <w:rsid w:val="009724A7"/>
    <w:rsid w:val="009725E3"/>
    <w:rsid w:val="0097277A"/>
    <w:rsid w:val="00972817"/>
    <w:rsid w:val="0097284D"/>
    <w:rsid w:val="0097288B"/>
    <w:rsid w:val="00972C73"/>
    <w:rsid w:val="00972DC1"/>
    <w:rsid w:val="00972F9C"/>
    <w:rsid w:val="00973097"/>
    <w:rsid w:val="009731BE"/>
    <w:rsid w:val="009731F3"/>
    <w:rsid w:val="009732A5"/>
    <w:rsid w:val="009732FF"/>
    <w:rsid w:val="009737AF"/>
    <w:rsid w:val="009737F8"/>
    <w:rsid w:val="0097393D"/>
    <w:rsid w:val="00973E90"/>
    <w:rsid w:val="009740C2"/>
    <w:rsid w:val="0097451E"/>
    <w:rsid w:val="0097478C"/>
    <w:rsid w:val="00974924"/>
    <w:rsid w:val="00974B78"/>
    <w:rsid w:val="00974C08"/>
    <w:rsid w:val="00974E72"/>
    <w:rsid w:val="00974E95"/>
    <w:rsid w:val="009751CD"/>
    <w:rsid w:val="00975749"/>
    <w:rsid w:val="009757BD"/>
    <w:rsid w:val="009757CF"/>
    <w:rsid w:val="00975965"/>
    <w:rsid w:val="00975D38"/>
    <w:rsid w:val="00975FF9"/>
    <w:rsid w:val="009760A0"/>
    <w:rsid w:val="0097615E"/>
    <w:rsid w:val="0097627D"/>
    <w:rsid w:val="009762F8"/>
    <w:rsid w:val="0097648F"/>
    <w:rsid w:val="0097650D"/>
    <w:rsid w:val="0097673E"/>
    <w:rsid w:val="00976753"/>
    <w:rsid w:val="0097678A"/>
    <w:rsid w:val="00976A78"/>
    <w:rsid w:val="00976D64"/>
    <w:rsid w:val="00976FA1"/>
    <w:rsid w:val="00976FE6"/>
    <w:rsid w:val="009771A4"/>
    <w:rsid w:val="0097725B"/>
    <w:rsid w:val="00977476"/>
    <w:rsid w:val="0097771D"/>
    <w:rsid w:val="00977731"/>
    <w:rsid w:val="009779CA"/>
    <w:rsid w:val="00977A5F"/>
    <w:rsid w:val="00977A83"/>
    <w:rsid w:val="00977CD0"/>
    <w:rsid w:val="00977D2C"/>
    <w:rsid w:val="00977D8F"/>
    <w:rsid w:val="00977E45"/>
    <w:rsid w:val="00977EF5"/>
    <w:rsid w:val="00980186"/>
    <w:rsid w:val="009801C9"/>
    <w:rsid w:val="0098045E"/>
    <w:rsid w:val="00980A03"/>
    <w:rsid w:val="00980B95"/>
    <w:rsid w:val="00980F11"/>
    <w:rsid w:val="00980F6E"/>
    <w:rsid w:val="0098101B"/>
    <w:rsid w:val="00981076"/>
    <w:rsid w:val="009812BC"/>
    <w:rsid w:val="00981979"/>
    <w:rsid w:val="00981B32"/>
    <w:rsid w:val="00981DC4"/>
    <w:rsid w:val="00982079"/>
    <w:rsid w:val="009820E8"/>
    <w:rsid w:val="00982452"/>
    <w:rsid w:val="00982A92"/>
    <w:rsid w:val="00982BB8"/>
    <w:rsid w:val="00982F8E"/>
    <w:rsid w:val="0098338E"/>
    <w:rsid w:val="009833AF"/>
    <w:rsid w:val="0098340E"/>
    <w:rsid w:val="00983881"/>
    <w:rsid w:val="0098391A"/>
    <w:rsid w:val="009839D6"/>
    <w:rsid w:val="00983BC0"/>
    <w:rsid w:val="00983C90"/>
    <w:rsid w:val="00983EE3"/>
    <w:rsid w:val="009841E3"/>
    <w:rsid w:val="00984244"/>
    <w:rsid w:val="009845DF"/>
    <w:rsid w:val="009846EA"/>
    <w:rsid w:val="0098505A"/>
    <w:rsid w:val="009851EC"/>
    <w:rsid w:val="009854B8"/>
    <w:rsid w:val="00985612"/>
    <w:rsid w:val="00985760"/>
    <w:rsid w:val="00985976"/>
    <w:rsid w:val="00985A12"/>
    <w:rsid w:val="00985CEB"/>
    <w:rsid w:val="00985E59"/>
    <w:rsid w:val="00985F34"/>
    <w:rsid w:val="00986322"/>
    <w:rsid w:val="009863CE"/>
    <w:rsid w:val="0098648A"/>
    <w:rsid w:val="009866BB"/>
    <w:rsid w:val="00986DBE"/>
    <w:rsid w:val="00987334"/>
    <w:rsid w:val="0098772C"/>
    <w:rsid w:val="00987789"/>
    <w:rsid w:val="009877B6"/>
    <w:rsid w:val="00987BFD"/>
    <w:rsid w:val="00987D1C"/>
    <w:rsid w:val="00987DE8"/>
    <w:rsid w:val="00990189"/>
    <w:rsid w:val="0099029C"/>
    <w:rsid w:val="009906CA"/>
    <w:rsid w:val="0099083A"/>
    <w:rsid w:val="00990BB0"/>
    <w:rsid w:val="009912A3"/>
    <w:rsid w:val="009912F4"/>
    <w:rsid w:val="009915A0"/>
    <w:rsid w:val="00991706"/>
    <w:rsid w:val="00991965"/>
    <w:rsid w:val="00991B8D"/>
    <w:rsid w:val="00991B94"/>
    <w:rsid w:val="00991F33"/>
    <w:rsid w:val="0099217E"/>
    <w:rsid w:val="00992809"/>
    <w:rsid w:val="0099291B"/>
    <w:rsid w:val="00992987"/>
    <w:rsid w:val="00992DEE"/>
    <w:rsid w:val="00992F53"/>
    <w:rsid w:val="00993209"/>
    <w:rsid w:val="00993488"/>
    <w:rsid w:val="00993526"/>
    <w:rsid w:val="00993BE5"/>
    <w:rsid w:val="0099419C"/>
    <w:rsid w:val="00994353"/>
    <w:rsid w:val="00994383"/>
    <w:rsid w:val="009945D7"/>
    <w:rsid w:val="0099468B"/>
    <w:rsid w:val="009946D4"/>
    <w:rsid w:val="0099487A"/>
    <w:rsid w:val="00994B1A"/>
    <w:rsid w:val="00994C6B"/>
    <w:rsid w:val="00994E0D"/>
    <w:rsid w:val="00994E24"/>
    <w:rsid w:val="009954EF"/>
    <w:rsid w:val="009955CE"/>
    <w:rsid w:val="0099561B"/>
    <w:rsid w:val="00995A00"/>
    <w:rsid w:val="00995BDA"/>
    <w:rsid w:val="00995EB7"/>
    <w:rsid w:val="009960B0"/>
    <w:rsid w:val="009961FE"/>
    <w:rsid w:val="00996C5F"/>
    <w:rsid w:val="00996CBA"/>
    <w:rsid w:val="0099704F"/>
    <w:rsid w:val="009970EE"/>
    <w:rsid w:val="00997117"/>
    <w:rsid w:val="009971DA"/>
    <w:rsid w:val="009974DF"/>
    <w:rsid w:val="00997A20"/>
    <w:rsid w:val="00997A41"/>
    <w:rsid w:val="00997AC8"/>
    <w:rsid w:val="00997BCF"/>
    <w:rsid w:val="00997CB6"/>
    <w:rsid w:val="00997D40"/>
    <w:rsid w:val="00997F65"/>
    <w:rsid w:val="009A041E"/>
    <w:rsid w:val="009A048F"/>
    <w:rsid w:val="009A0679"/>
    <w:rsid w:val="009A08FE"/>
    <w:rsid w:val="009A0B56"/>
    <w:rsid w:val="009A0F54"/>
    <w:rsid w:val="009A1139"/>
    <w:rsid w:val="009A14A0"/>
    <w:rsid w:val="009A14AE"/>
    <w:rsid w:val="009A15BE"/>
    <w:rsid w:val="009A1808"/>
    <w:rsid w:val="009A1827"/>
    <w:rsid w:val="009A189E"/>
    <w:rsid w:val="009A199B"/>
    <w:rsid w:val="009A1A47"/>
    <w:rsid w:val="009A1F2B"/>
    <w:rsid w:val="009A1FC4"/>
    <w:rsid w:val="009A22DA"/>
    <w:rsid w:val="009A231B"/>
    <w:rsid w:val="009A26E4"/>
    <w:rsid w:val="009A27AA"/>
    <w:rsid w:val="009A28DD"/>
    <w:rsid w:val="009A2914"/>
    <w:rsid w:val="009A29DA"/>
    <w:rsid w:val="009A29F9"/>
    <w:rsid w:val="009A2B36"/>
    <w:rsid w:val="009A2D1C"/>
    <w:rsid w:val="009A2DF6"/>
    <w:rsid w:val="009A2EFF"/>
    <w:rsid w:val="009A4380"/>
    <w:rsid w:val="009A4432"/>
    <w:rsid w:val="009A4799"/>
    <w:rsid w:val="009A507C"/>
    <w:rsid w:val="009A50A3"/>
    <w:rsid w:val="009A5179"/>
    <w:rsid w:val="009A5479"/>
    <w:rsid w:val="009A54CA"/>
    <w:rsid w:val="009A54D6"/>
    <w:rsid w:val="009A5509"/>
    <w:rsid w:val="009A5777"/>
    <w:rsid w:val="009A5BC5"/>
    <w:rsid w:val="009A5C71"/>
    <w:rsid w:val="009A5E0D"/>
    <w:rsid w:val="009A5F4D"/>
    <w:rsid w:val="009A5FAF"/>
    <w:rsid w:val="009A6154"/>
    <w:rsid w:val="009A6399"/>
    <w:rsid w:val="009A6489"/>
    <w:rsid w:val="009A64A4"/>
    <w:rsid w:val="009A64EE"/>
    <w:rsid w:val="009A68D8"/>
    <w:rsid w:val="009A6910"/>
    <w:rsid w:val="009A69BA"/>
    <w:rsid w:val="009A7137"/>
    <w:rsid w:val="009A7184"/>
    <w:rsid w:val="009A7478"/>
    <w:rsid w:val="009A757B"/>
    <w:rsid w:val="009A76D4"/>
    <w:rsid w:val="009A7814"/>
    <w:rsid w:val="009A7834"/>
    <w:rsid w:val="009A7A4B"/>
    <w:rsid w:val="009A7B71"/>
    <w:rsid w:val="009A7C25"/>
    <w:rsid w:val="009B09C0"/>
    <w:rsid w:val="009B1048"/>
    <w:rsid w:val="009B1495"/>
    <w:rsid w:val="009B1D44"/>
    <w:rsid w:val="009B1D6A"/>
    <w:rsid w:val="009B1E9D"/>
    <w:rsid w:val="009B1F16"/>
    <w:rsid w:val="009B20F9"/>
    <w:rsid w:val="009B25C9"/>
    <w:rsid w:val="009B27F0"/>
    <w:rsid w:val="009B281F"/>
    <w:rsid w:val="009B28CC"/>
    <w:rsid w:val="009B2A53"/>
    <w:rsid w:val="009B2BFA"/>
    <w:rsid w:val="009B2DAE"/>
    <w:rsid w:val="009B3139"/>
    <w:rsid w:val="009B3532"/>
    <w:rsid w:val="009B3599"/>
    <w:rsid w:val="009B3608"/>
    <w:rsid w:val="009B3A86"/>
    <w:rsid w:val="009B4128"/>
    <w:rsid w:val="009B4247"/>
    <w:rsid w:val="009B435A"/>
    <w:rsid w:val="009B43D6"/>
    <w:rsid w:val="009B4588"/>
    <w:rsid w:val="009B458C"/>
    <w:rsid w:val="009B4679"/>
    <w:rsid w:val="009B5139"/>
    <w:rsid w:val="009B5433"/>
    <w:rsid w:val="009B54C2"/>
    <w:rsid w:val="009B558C"/>
    <w:rsid w:val="009B5705"/>
    <w:rsid w:val="009B5752"/>
    <w:rsid w:val="009B5911"/>
    <w:rsid w:val="009B5A42"/>
    <w:rsid w:val="009B5BDA"/>
    <w:rsid w:val="009B6306"/>
    <w:rsid w:val="009B66B5"/>
    <w:rsid w:val="009B673C"/>
    <w:rsid w:val="009B6BB8"/>
    <w:rsid w:val="009B6DD3"/>
    <w:rsid w:val="009B7043"/>
    <w:rsid w:val="009B708C"/>
    <w:rsid w:val="009B71D8"/>
    <w:rsid w:val="009B733C"/>
    <w:rsid w:val="009B733D"/>
    <w:rsid w:val="009B7CE7"/>
    <w:rsid w:val="009B7FFC"/>
    <w:rsid w:val="009C0177"/>
    <w:rsid w:val="009C0D84"/>
    <w:rsid w:val="009C10C8"/>
    <w:rsid w:val="009C1105"/>
    <w:rsid w:val="009C12EB"/>
    <w:rsid w:val="009C1344"/>
    <w:rsid w:val="009C146F"/>
    <w:rsid w:val="009C163E"/>
    <w:rsid w:val="009C164D"/>
    <w:rsid w:val="009C21D1"/>
    <w:rsid w:val="009C228D"/>
    <w:rsid w:val="009C2A44"/>
    <w:rsid w:val="009C2A92"/>
    <w:rsid w:val="009C2B45"/>
    <w:rsid w:val="009C2C06"/>
    <w:rsid w:val="009C2DB7"/>
    <w:rsid w:val="009C2E8B"/>
    <w:rsid w:val="009C3249"/>
    <w:rsid w:val="009C3419"/>
    <w:rsid w:val="009C345F"/>
    <w:rsid w:val="009C35E0"/>
    <w:rsid w:val="009C36DA"/>
    <w:rsid w:val="009C37EC"/>
    <w:rsid w:val="009C3914"/>
    <w:rsid w:val="009C40C6"/>
    <w:rsid w:val="009C4226"/>
    <w:rsid w:val="009C446F"/>
    <w:rsid w:val="009C4648"/>
    <w:rsid w:val="009C467C"/>
    <w:rsid w:val="009C4929"/>
    <w:rsid w:val="009C4F4A"/>
    <w:rsid w:val="009C4F52"/>
    <w:rsid w:val="009C51EE"/>
    <w:rsid w:val="009C5207"/>
    <w:rsid w:val="009C5226"/>
    <w:rsid w:val="009C5337"/>
    <w:rsid w:val="009C543B"/>
    <w:rsid w:val="009C56A4"/>
    <w:rsid w:val="009C571D"/>
    <w:rsid w:val="009C5A2D"/>
    <w:rsid w:val="009C5BDA"/>
    <w:rsid w:val="009C5DBA"/>
    <w:rsid w:val="009C5E09"/>
    <w:rsid w:val="009C60A1"/>
    <w:rsid w:val="009C62D8"/>
    <w:rsid w:val="009C6624"/>
    <w:rsid w:val="009C67C2"/>
    <w:rsid w:val="009C692B"/>
    <w:rsid w:val="009C697E"/>
    <w:rsid w:val="009C6E2C"/>
    <w:rsid w:val="009C7280"/>
    <w:rsid w:val="009C74FD"/>
    <w:rsid w:val="009C7574"/>
    <w:rsid w:val="009C7659"/>
    <w:rsid w:val="009C76F2"/>
    <w:rsid w:val="009C7A78"/>
    <w:rsid w:val="009C7B49"/>
    <w:rsid w:val="009C7BCE"/>
    <w:rsid w:val="009C7C11"/>
    <w:rsid w:val="009D007C"/>
    <w:rsid w:val="009D04B6"/>
    <w:rsid w:val="009D04BA"/>
    <w:rsid w:val="009D055E"/>
    <w:rsid w:val="009D09F7"/>
    <w:rsid w:val="009D0A59"/>
    <w:rsid w:val="009D0C7F"/>
    <w:rsid w:val="009D0F95"/>
    <w:rsid w:val="009D0FD5"/>
    <w:rsid w:val="009D10AF"/>
    <w:rsid w:val="009D1174"/>
    <w:rsid w:val="009D146D"/>
    <w:rsid w:val="009D154D"/>
    <w:rsid w:val="009D16F5"/>
    <w:rsid w:val="009D17F4"/>
    <w:rsid w:val="009D1989"/>
    <w:rsid w:val="009D1B10"/>
    <w:rsid w:val="009D1C41"/>
    <w:rsid w:val="009D1CB8"/>
    <w:rsid w:val="009D1D6C"/>
    <w:rsid w:val="009D2123"/>
    <w:rsid w:val="009D2615"/>
    <w:rsid w:val="009D2D15"/>
    <w:rsid w:val="009D2EF8"/>
    <w:rsid w:val="009D2FF4"/>
    <w:rsid w:val="009D306A"/>
    <w:rsid w:val="009D3131"/>
    <w:rsid w:val="009D32FA"/>
    <w:rsid w:val="009D3371"/>
    <w:rsid w:val="009D34D9"/>
    <w:rsid w:val="009D34E7"/>
    <w:rsid w:val="009D354F"/>
    <w:rsid w:val="009D38BD"/>
    <w:rsid w:val="009D3AE8"/>
    <w:rsid w:val="009D3BEB"/>
    <w:rsid w:val="009D4018"/>
    <w:rsid w:val="009D405D"/>
    <w:rsid w:val="009D4159"/>
    <w:rsid w:val="009D42B4"/>
    <w:rsid w:val="009D438B"/>
    <w:rsid w:val="009D44B7"/>
    <w:rsid w:val="009D44D8"/>
    <w:rsid w:val="009D4845"/>
    <w:rsid w:val="009D48EC"/>
    <w:rsid w:val="009D4AB7"/>
    <w:rsid w:val="009D4AEF"/>
    <w:rsid w:val="009D4C39"/>
    <w:rsid w:val="009D4CE0"/>
    <w:rsid w:val="009D4D7F"/>
    <w:rsid w:val="009D4EEC"/>
    <w:rsid w:val="009D5532"/>
    <w:rsid w:val="009D585A"/>
    <w:rsid w:val="009D5BCF"/>
    <w:rsid w:val="009D5ECF"/>
    <w:rsid w:val="009D67BB"/>
    <w:rsid w:val="009D6AE6"/>
    <w:rsid w:val="009D6EC4"/>
    <w:rsid w:val="009D6ECE"/>
    <w:rsid w:val="009D6F49"/>
    <w:rsid w:val="009D712B"/>
    <w:rsid w:val="009D719A"/>
    <w:rsid w:val="009D72A8"/>
    <w:rsid w:val="009D7348"/>
    <w:rsid w:val="009D75F0"/>
    <w:rsid w:val="009D75FA"/>
    <w:rsid w:val="009D7B0F"/>
    <w:rsid w:val="009D7E05"/>
    <w:rsid w:val="009D7F04"/>
    <w:rsid w:val="009D7F74"/>
    <w:rsid w:val="009D7FB8"/>
    <w:rsid w:val="009E0030"/>
    <w:rsid w:val="009E00EC"/>
    <w:rsid w:val="009E04C7"/>
    <w:rsid w:val="009E0637"/>
    <w:rsid w:val="009E07E3"/>
    <w:rsid w:val="009E07E9"/>
    <w:rsid w:val="009E0C21"/>
    <w:rsid w:val="009E0CF8"/>
    <w:rsid w:val="009E0E99"/>
    <w:rsid w:val="009E0F91"/>
    <w:rsid w:val="009E12CA"/>
    <w:rsid w:val="009E17D1"/>
    <w:rsid w:val="009E1830"/>
    <w:rsid w:val="009E1896"/>
    <w:rsid w:val="009E1A17"/>
    <w:rsid w:val="009E1A21"/>
    <w:rsid w:val="009E1ABA"/>
    <w:rsid w:val="009E1B78"/>
    <w:rsid w:val="009E210F"/>
    <w:rsid w:val="009E227D"/>
    <w:rsid w:val="009E2386"/>
    <w:rsid w:val="009E23D3"/>
    <w:rsid w:val="009E27BA"/>
    <w:rsid w:val="009E27CB"/>
    <w:rsid w:val="009E2AA8"/>
    <w:rsid w:val="009E2F06"/>
    <w:rsid w:val="009E2F17"/>
    <w:rsid w:val="009E307F"/>
    <w:rsid w:val="009E35D5"/>
    <w:rsid w:val="009E3837"/>
    <w:rsid w:val="009E3864"/>
    <w:rsid w:val="009E391E"/>
    <w:rsid w:val="009E3967"/>
    <w:rsid w:val="009E3B91"/>
    <w:rsid w:val="009E3D03"/>
    <w:rsid w:val="009E3D53"/>
    <w:rsid w:val="009E4028"/>
    <w:rsid w:val="009E40D6"/>
    <w:rsid w:val="009E42C9"/>
    <w:rsid w:val="009E47F6"/>
    <w:rsid w:val="009E49D5"/>
    <w:rsid w:val="009E501F"/>
    <w:rsid w:val="009E5139"/>
    <w:rsid w:val="009E539F"/>
    <w:rsid w:val="009E5732"/>
    <w:rsid w:val="009E58BB"/>
    <w:rsid w:val="009E59ED"/>
    <w:rsid w:val="009E5EAB"/>
    <w:rsid w:val="009E60BC"/>
    <w:rsid w:val="009E61A0"/>
    <w:rsid w:val="009E61BD"/>
    <w:rsid w:val="009E6239"/>
    <w:rsid w:val="009E657C"/>
    <w:rsid w:val="009E69A3"/>
    <w:rsid w:val="009E6B64"/>
    <w:rsid w:val="009E6E37"/>
    <w:rsid w:val="009E75F7"/>
    <w:rsid w:val="009E7795"/>
    <w:rsid w:val="009E7BBA"/>
    <w:rsid w:val="009E7EDA"/>
    <w:rsid w:val="009F0153"/>
    <w:rsid w:val="009F0238"/>
    <w:rsid w:val="009F057A"/>
    <w:rsid w:val="009F08A0"/>
    <w:rsid w:val="009F0BBC"/>
    <w:rsid w:val="009F0C40"/>
    <w:rsid w:val="009F0C58"/>
    <w:rsid w:val="009F0D3F"/>
    <w:rsid w:val="009F0DC0"/>
    <w:rsid w:val="009F0E9F"/>
    <w:rsid w:val="009F0FA3"/>
    <w:rsid w:val="009F118F"/>
    <w:rsid w:val="009F1292"/>
    <w:rsid w:val="009F1369"/>
    <w:rsid w:val="009F1510"/>
    <w:rsid w:val="009F18EA"/>
    <w:rsid w:val="009F1DA4"/>
    <w:rsid w:val="009F1E6C"/>
    <w:rsid w:val="009F1FAA"/>
    <w:rsid w:val="009F25B7"/>
    <w:rsid w:val="009F281F"/>
    <w:rsid w:val="009F2A07"/>
    <w:rsid w:val="009F2BA5"/>
    <w:rsid w:val="009F2FB7"/>
    <w:rsid w:val="009F30E4"/>
    <w:rsid w:val="009F332B"/>
    <w:rsid w:val="009F37E5"/>
    <w:rsid w:val="009F38D1"/>
    <w:rsid w:val="009F39D5"/>
    <w:rsid w:val="009F3D1E"/>
    <w:rsid w:val="009F4244"/>
    <w:rsid w:val="009F49A8"/>
    <w:rsid w:val="009F49C6"/>
    <w:rsid w:val="009F49FB"/>
    <w:rsid w:val="009F4B1D"/>
    <w:rsid w:val="009F4EF9"/>
    <w:rsid w:val="009F5078"/>
    <w:rsid w:val="009F5A18"/>
    <w:rsid w:val="009F5BC7"/>
    <w:rsid w:val="009F5C82"/>
    <w:rsid w:val="009F5CE3"/>
    <w:rsid w:val="009F612E"/>
    <w:rsid w:val="009F63A6"/>
    <w:rsid w:val="009F64E8"/>
    <w:rsid w:val="009F6751"/>
    <w:rsid w:val="009F6C27"/>
    <w:rsid w:val="009F6E68"/>
    <w:rsid w:val="009F7253"/>
    <w:rsid w:val="009F72D4"/>
    <w:rsid w:val="009F72DC"/>
    <w:rsid w:val="009F73F0"/>
    <w:rsid w:val="009F73FC"/>
    <w:rsid w:val="009F755C"/>
    <w:rsid w:val="009F7571"/>
    <w:rsid w:val="009F75AE"/>
    <w:rsid w:val="009F75F7"/>
    <w:rsid w:val="009F769A"/>
    <w:rsid w:val="009F7849"/>
    <w:rsid w:val="009F7ACD"/>
    <w:rsid w:val="009F7C16"/>
    <w:rsid w:val="009F7F39"/>
    <w:rsid w:val="00A000AD"/>
    <w:rsid w:val="00A000DB"/>
    <w:rsid w:val="00A0033E"/>
    <w:rsid w:val="00A00524"/>
    <w:rsid w:val="00A0069A"/>
    <w:rsid w:val="00A00ABF"/>
    <w:rsid w:val="00A00B29"/>
    <w:rsid w:val="00A00FF5"/>
    <w:rsid w:val="00A01292"/>
    <w:rsid w:val="00A014B1"/>
    <w:rsid w:val="00A01720"/>
    <w:rsid w:val="00A017B2"/>
    <w:rsid w:val="00A01821"/>
    <w:rsid w:val="00A018C3"/>
    <w:rsid w:val="00A01C8C"/>
    <w:rsid w:val="00A01EEB"/>
    <w:rsid w:val="00A02466"/>
    <w:rsid w:val="00A02497"/>
    <w:rsid w:val="00A0260A"/>
    <w:rsid w:val="00A0295E"/>
    <w:rsid w:val="00A029BA"/>
    <w:rsid w:val="00A02B17"/>
    <w:rsid w:val="00A02E74"/>
    <w:rsid w:val="00A02EBE"/>
    <w:rsid w:val="00A02FE6"/>
    <w:rsid w:val="00A030CC"/>
    <w:rsid w:val="00A03117"/>
    <w:rsid w:val="00A0323C"/>
    <w:rsid w:val="00A033CD"/>
    <w:rsid w:val="00A034FB"/>
    <w:rsid w:val="00A037C2"/>
    <w:rsid w:val="00A03995"/>
    <w:rsid w:val="00A03C0E"/>
    <w:rsid w:val="00A03E07"/>
    <w:rsid w:val="00A0439D"/>
    <w:rsid w:val="00A04414"/>
    <w:rsid w:val="00A04764"/>
    <w:rsid w:val="00A04853"/>
    <w:rsid w:val="00A04CCA"/>
    <w:rsid w:val="00A04D96"/>
    <w:rsid w:val="00A05418"/>
    <w:rsid w:val="00A054B5"/>
    <w:rsid w:val="00A057D5"/>
    <w:rsid w:val="00A05800"/>
    <w:rsid w:val="00A05842"/>
    <w:rsid w:val="00A05923"/>
    <w:rsid w:val="00A0613C"/>
    <w:rsid w:val="00A0624C"/>
    <w:rsid w:val="00A065D5"/>
    <w:rsid w:val="00A06A6B"/>
    <w:rsid w:val="00A06BED"/>
    <w:rsid w:val="00A06BF6"/>
    <w:rsid w:val="00A06C66"/>
    <w:rsid w:val="00A06EFE"/>
    <w:rsid w:val="00A07279"/>
    <w:rsid w:val="00A07340"/>
    <w:rsid w:val="00A074E4"/>
    <w:rsid w:val="00A076D7"/>
    <w:rsid w:val="00A07718"/>
    <w:rsid w:val="00A078FB"/>
    <w:rsid w:val="00A079C1"/>
    <w:rsid w:val="00A07CBF"/>
    <w:rsid w:val="00A07D0F"/>
    <w:rsid w:val="00A10160"/>
    <w:rsid w:val="00A106DB"/>
    <w:rsid w:val="00A10956"/>
    <w:rsid w:val="00A10D51"/>
    <w:rsid w:val="00A10F6F"/>
    <w:rsid w:val="00A113EC"/>
    <w:rsid w:val="00A1159D"/>
    <w:rsid w:val="00A11780"/>
    <w:rsid w:val="00A11EF0"/>
    <w:rsid w:val="00A11F81"/>
    <w:rsid w:val="00A11FF6"/>
    <w:rsid w:val="00A12026"/>
    <w:rsid w:val="00A12191"/>
    <w:rsid w:val="00A124FB"/>
    <w:rsid w:val="00A1261C"/>
    <w:rsid w:val="00A1268A"/>
    <w:rsid w:val="00A1269D"/>
    <w:rsid w:val="00A12C45"/>
    <w:rsid w:val="00A12F58"/>
    <w:rsid w:val="00A12FDD"/>
    <w:rsid w:val="00A134D6"/>
    <w:rsid w:val="00A136A8"/>
    <w:rsid w:val="00A136DB"/>
    <w:rsid w:val="00A13750"/>
    <w:rsid w:val="00A13857"/>
    <w:rsid w:val="00A139A5"/>
    <w:rsid w:val="00A13CE0"/>
    <w:rsid w:val="00A14326"/>
    <w:rsid w:val="00A14418"/>
    <w:rsid w:val="00A14479"/>
    <w:rsid w:val="00A144BD"/>
    <w:rsid w:val="00A14885"/>
    <w:rsid w:val="00A14A55"/>
    <w:rsid w:val="00A14BE7"/>
    <w:rsid w:val="00A15064"/>
    <w:rsid w:val="00A15291"/>
    <w:rsid w:val="00A154AF"/>
    <w:rsid w:val="00A1557D"/>
    <w:rsid w:val="00A15654"/>
    <w:rsid w:val="00A15AB5"/>
    <w:rsid w:val="00A15B23"/>
    <w:rsid w:val="00A16396"/>
    <w:rsid w:val="00A16423"/>
    <w:rsid w:val="00A16582"/>
    <w:rsid w:val="00A1670D"/>
    <w:rsid w:val="00A167B0"/>
    <w:rsid w:val="00A16833"/>
    <w:rsid w:val="00A169DF"/>
    <w:rsid w:val="00A169EC"/>
    <w:rsid w:val="00A16A23"/>
    <w:rsid w:val="00A16AA0"/>
    <w:rsid w:val="00A16C81"/>
    <w:rsid w:val="00A16CE7"/>
    <w:rsid w:val="00A16CF4"/>
    <w:rsid w:val="00A1713E"/>
    <w:rsid w:val="00A1721B"/>
    <w:rsid w:val="00A17537"/>
    <w:rsid w:val="00A1761D"/>
    <w:rsid w:val="00A17632"/>
    <w:rsid w:val="00A17829"/>
    <w:rsid w:val="00A17D09"/>
    <w:rsid w:val="00A2004D"/>
    <w:rsid w:val="00A200C2"/>
    <w:rsid w:val="00A204FE"/>
    <w:rsid w:val="00A207A3"/>
    <w:rsid w:val="00A20B0B"/>
    <w:rsid w:val="00A20E25"/>
    <w:rsid w:val="00A21176"/>
    <w:rsid w:val="00A21395"/>
    <w:rsid w:val="00A2144D"/>
    <w:rsid w:val="00A214CC"/>
    <w:rsid w:val="00A21A4B"/>
    <w:rsid w:val="00A21C02"/>
    <w:rsid w:val="00A21EB0"/>
    <w:rsid w:val="00A22181"/>
    <w:rsid w:val="00A22372"/>
    <w:rsid w:val="00A223C8"/>
    <w:rsid w:val="00A22407"/>
    <w:rsid w:val="00A225FD"/>
    <w:rsid w:val="00A22710"/>
    <w:rsid w:val="00A22715"/>
    <w:rsid w:val="00A22740"/>
    <w:rsid w:val="00A229C2"/>
    <w:rsid w:val="00A22ADE"/>
    <w:rsid w:val="00A22D08"/>
    <w:rsid w:val="00A22E66"/>
    <w:rsid w:val="00A22E83"/>
    <w:rsid w:val="00A22ED5"/>
    <w:rsid w:val="00A23020"/>
    <w:rsid w:val="00A230B1"/>
    <w:rsid w:val="00A230E6"/>
    <w:rsid w:val="00A230E9"/>
    <w:rsid w:val="00A23153"/>
    <w:rsid w:val="00A235DA"/>
    <w:rsid w:val="00A2397A"/>
    <w:rsid w:val="00A23B93"/>
    <w:rsid w:val="00A23E6D"/>
    <w:rsid w:val="00A23FBF"/>
    <w:rsid w:val="00A2436C"/>
    <w:rsid w:val="00A24561"/>
    <w:rsid w:val="00A24758"/>
    <w:rsid w:val="00A247CB"/>
    <w:rsid w:val="00A24D85"/>
    <w:rsid w:val="00A25082"/>
    <w:rsid w:val="00A2551D"/>
    <w:rsid w:val="00A258C5"/>
    <w:rsid w:val="00A25BA4"/>
    <w:rsid w:val="00A25BE0"/>
    <w:rsid w:val="00A25C38"/>
    <w:rsid w:val="00A25C56"/>
    <w:rsid w:val="00A25DCC"/>
    <w:rsid w:val="00A25F7A"/>
    <w:rsid w:val="00A25F85"/>
    <w:rsid w:val="00A26133"/>
    <w:rsid w:val="00A26288"/>
    <w:rsid w:val="00A262CE"/>
    <w:rsid w:val="00A2635C"/>
    <w:rsid w:val="00A265D1"/>
    <w:rsid w:val="00A26709"/>
    <w:rsid w:val="00A268D4"/>
    <w:rsid w:val="00A269C6"/>
    <w:rsid w:val="00A26A11"/>
    <w:rsid w:val="00A26D01"/>
    <w:rsid w:val="00A26E59"/>
    <w:rsid w:val="00A26E97"/>
    <w:rsid w:val="00A26F02"/>
    <w:rsid w:val="00A26FF7"/>
    <w:rsid w:val="00A273E5"/>
    <w:rsid w:val="00A27AB4"/>
    <w:rsid w:val="00A27D7C"/>
    <w:rsid w:val="00A301C1"/>
    <w:rsid w:val="00A30306"/>
    <w:rsid w:val="00A3059E"/>
    <w:rsid w:val="00A30674"/>
    <w:rsid w:val="00A30701"/>
    <w:rsid w:val="00A3073A"/>
    <w:rsid w:val="00A309BC"/>
    <w:rsid w:val="00A30B08"/>
    <w:rsid w:val="00A30BBC"/>
    <w:rsid w:val="00A30F5F"/>
    <w:rsid w:val="00A3105C"/>
    <w:rsid w:val="00A311A9"/>
    <w:rsid w:val="00A311C5"/>
    <w:rsid w:val="00A314BD"/>
    <w:rsid w:val="00A316F8"/>
    <w:rsid w:val="00A31888"/>
    <w:rsid w:val="00A31999"/>
    <w:rsid w:val="00A31AE1"/>
    <w:rsid w:val="00A31B44"/>
    <w:rsid w:val="00A31B70"/>
    <w:rsid w:val="00A31C9A"/>
    <w:rsid w:val="00A31EB7"/>
    <w:rsid w:val="00A3208E"/>
    <w:rsid w:val="00A320A5"/>
    <w:rsid w:val="00A3232B"/>
    <w:rsid w:val="00A326E7"/>
    <w:rsid w:val="00A32742"/>
    <w:rsid w:val="00A32B25"/>
    <w:rsid w:val="00A330DD"/>
    <w:rsid w:val="00A33266"/>
    <w:rsid w:val="00A334B0"/>
    <w:rsid w:val="00A33707"/>
    <w:rsid w:val="00A33B0C"/>
    <w:rsid w:val="00A33B1E"/>
    <w:rsid w:val="00A33C0F"/>
    <w:rsid w:val="00A33E85"/>
    <w:rsid w:val="00A3403F"/>
    <w:rsid w:val="00A342E9"/>
    <w:rsid w:val="00A34418"/>
    <w:rsid w:val="00A345AE"/>
    <w:rsid w:val="00A346BA"/>
    <w:rsid w:val="00A3482B"/>
    <w:rsid w:val="00A349A2"/>
    <w:rsid w:val="00A34CC6"/>
    <w:rsid w:val="00A34CE5"/>
    <w:rsid w:val="00A3521F"/>
    <w:rsid w:val="00A35518"/>
    <w:rsid w:val="00A35593"/>
    <w:rsid w:val="00A35619"/>
    <w:rsid w:val="00A35BBE"/>
    <w:rsid w:val="00A35CA3"/>
    <w:rsid w:val="00A35DBB"/>
    <w:rsid w:val="00A35EE8"/>
    <w:rsid w:val="00A3605F"/>
    <w:rsid w:val="00A36311"/>
    <w:rsid w:val="00A36F19"/>
    <w:rsid w:val="00A3703F"/>
    <w:rsid w:val="00A3711C"/>
    <w:rsid w:val="00A371FB"/>
    <w:rsid w:val="00A37606"/>
    <w:rsid w:val="00A37B42"/>
    <w:rsid w:val="00A37D10"/>
    <w:rsid w:val="00A37D32"/>
    <w:rsid w:val="00A402DE"/>
    <w:rsid w:val="00A4045A"/>
    <w:rsid w:val="00A40489"/>
    <w:rsid w:val="00A40811"/>
    <w:rsid w:val="00A40903"/>
    <w:rsid w:val="00A40AC6"/>
    <w:rsid w:val="00A40BD5"/>
    <w:rsid w:val="00A40D67"/>
    <w:rsid w:val="00A40FCC"/>
    <w:rsid w:val="00A41080"/>
    <w:rsid w:val="00A410C3"/>
    <w:rsid w:val="00A412EA"/>
    <w:rsid w:val="00A415DD"/>
    <w:rsid w:val="00A41763"/>
    <w:rsid w:val="00A41DBC"/>
    <w:rsid w:val="00A41E69"/>
    <w:rsid w:val="00A41E90"/>
    <w:rsid w:val="00A41F49"/>
    <w:rsid w:val="00A4224A"/>
    <w:rsid w:val="00A4245D"/>
    <w:rsid w:val="00A4272A"/>
    <w:rsid w:val="00A42786"/>
    <w:rsid w:val="00A42947"/>
    <w:rsid w:val="00A42BF1"/>
    <w:rsid w:val="00A42FC3"/>
    <w:rsid w:val="00A438E5"/>
    <w:rsid w:val="00A4395A"/>
    <w:rsid w:val="00A43C8D"/>
    <w:rsid w:val="00A43CA2"/>
    <w:rsid w:val="00A43CA8"/>
    <w:rsid w:val="00A43F00"/>
    <w:rsid w:val="00A4402C"/>
    <w:rsid w:val="00A4422C"/>
    <w:rsid w:val="00A442C1"/>
    <w:rsid w:val="00A44471"/>
    <w:rsid w:val="00A446BD"/>
    <w:rsid w:val="00A44945"/>
    <w:rsid w:val="00A44A41"/>
    <w:rsid w:val="00A44AA5"/>
    <w:rsid w:val="00A44B4B"/>
    <w:rsid w:val="00A44BF8"/>
    <w:rsid w:val="00A44FD0"/>
    <w:rsid w:val="00A450B6"/>
    <w:rsid w:val="00A451ED"/>
    <w:rsid w:val="00A453A2"/>
    <w:rsid w:val="00A455B3"/>
    <w:rsid w:val="00A458BE"/>
    <w:rsid w:val="00A45AA8"/>
    <w:rsid w:val="00A461E9"/>
    <w:rsid w:val="00A46336"/>
    <w:rsid w:val="00A463D8"/>
    <w:rsid w:val="00A4684E"/>
    <w:rsid w:val="00A47065"/>
    <w:rsid w:val="00A4716C"/>
    <w:rsid w:val="00A47255"/>
    <w:rsid w:val="00A473D2"/>
    <w:rsid w:val="00A4763A"/>
    <w:rsid w:val="00A47641"/>
    <w:rsid w:val="00A476FC"/>
    <w:rsid w:val="00A478CF"/>
    <w:rsid w:val="00A47C90"/>
    <w:rsid w:val="00A47CBE"/>
    <w:rsid w:val="00A47CE6"/>
    <w:rsid w:val="00A47D83"/>
    <w:rsid w:val="00A47EA1"/>
    <w:rsid w:val="00A505BB"/>
    <w:rsid w:val="00A507D4"/>
    <w:rsid w:val="00A50827"/>
    <w:rsid w:val="00A508E6"/>
    <w:rsid w:val="00A50B94"/>
    <w:rsid w:val="00A50BAD"/>
    <w:rsid w:val="00A50CC1"/>
    <w:rsid w:val="00A50D10"/>
    <w:rsid w:val="00A50D15"/>
    <w:rsid w:val="00A50D57"/>
    <w:rsid w:val="00A510CB"/>
    <w:rsid w:val="00A51218"/>
    <w:rsid w:val="00A51263"/>
    <w:rsid w:val="00A51784"/>
    <w:rsid w:val="00A51835"/>
    <w:rsid w:val="00A51B08"/>
    <w:rsid w:val="00A51C22"/>
    <w:rsid w:val="00A51F77"/>
    <w:rsid w:val="00A5206F"/>
    <w:rsid w:val="00A521A2"/>
    <w:rsid w:val="00A521E0"/>
    <w:rsid w:val="00A52280"/>
    <w:rsid w:val="00A52408"/>
    <w:rsid w:val="00A5247D"/>
    <w:rsid w:val="00A52731"/>
    <w:rsid w:val="00A5275C"/>
    <w:rsid w:val="00A52983"/>
    <w:rsid w:val="00A5304C"/>
    <w:rsid w:val="00A5315D"/>
    <w:rsid w:val="00A5338B"/>
    <w:rsid w:val="00A535B4"/>
    <w:rsid w:val="00A539F8"/>
    <w:rsid w:val="00A53DFD"/>
    <w:rsid w:val="00A53E13"/>
    <w:rsid w:val="00A54111"/>
    <w:rsid w:val="00A54273"/>
    <w:rsid w:val="00A542CA"/>
    <w:rsid w:val="00A5435E"/>
    <w:rsid w:val="00A54394"/>
    <w:rsid w:val="00A54492"/>
    <w:rsid w:val="00A54547"/>
    <w:rsid w:val="00A5455B"/>
    <w:rsid w:val="00A546D8"/>
    <w:rsid w:val="00A547A4"/>
    <w:rsid w:val="00A54C00"/>
    <w:rsid w:val="00A54CC0"/>
    <w:rsid w:val="00A54CE1"/>
    <w:rsid w:val="00A54DFE"/>
    <w:rsid w:val="00A552CE"/>
    <w:rsid w:val="00A55358"/>
    <w:rsid w:val="00A55A47"/>
    <w:rsid w:val="00A55BBA"/>
    <w:rsid w:val="00A55ECA"/>
    <w:rsid w:val="00A55F67"/>
    <w:rsid w:val="00A562BD"/>
    <w:rsid w:val="00A563F9"/>
    <w:rsid w:val="00A564A3"/>
    <w:rsid w:val="00A5653B"/>
    <w:rsid w:val="00A565CB"/>
    <w:rsid w:val="00A569D9"/>
    <w:rsid w:val="00A56B57"/>
    <w:rsid w:val="00A56DAD"/>
    <w:rsid w:val="00A56DE9"/>
    <w:rsid w:val="00A56EB0"/>
    <w:rsid w:val="00A57355"/>
    <w:rsid w:val="00A578FB"/>
    <w:rsid w:val="00A57AEB"/>
    <w:rsid w:val="00A57BA5"/>
    <w:rsid w:val="00A57CC6"/>
    <w:rsid w:val="00A57D70"/>
    <w:rsid w:val="00A57F9F"/>
    <w:rsid w:val="00A60205"/>
    <w:rsid w:val="00A6027E"/>
    <w:rsid w:val="00A604D5"/>
    <w:rsid w:val="00A604E3"/>
    <w:rsid w:val="00A60867"/>
    <w:rsid w:val="00A6087B"/>
    <w:rsid w:val="00A60A7A"/>
    <w:rsid w:val="00A60E4D"/>
    <w:rsid w:val="00A619C8"/>
    <w:rsid w:val="00A619CD"/>
    <w:rsid w:val="00A619F8"/>
    <w:rsid w:val="00A623DA"/>
    <w:rsid w:val="00A623FF"/>
    <w:rsid w:val="00A625EC"/>
    <w:rsid w:val="00A6272F"/>
    <w:rsid w:val="00A62866"/>
    <w:rsid w:val="00A62926"/>
    <w:rsid w:val="00A62990"/>
    <w:rsid w:val="00A62A9E"/>
    <w:rsid w:val="00A62B37"/>
    <w:rsid w:val="00A62E8E"/>
    <w:rsid w:val="00A6305A"/>
    <w:rsid w:val="00A633E4"/>
    <w:rsid w:val="00A63417"/>
    <w:rsid w:val="00A6356E"/>
    <w:rsid w:val="00A635E3"/>
    <w:rsid w:val="00A6360E"/>
    <w:rsid w:val="00A63753"/>
    <w:rsid w:val="00A6381D"/>
    <w:rsid w:val="00A63985"/>
    <w:rsid w:val="00A63AD8"/>
    <w:rsid w:val="00A63D7B"/>
    <w:rsid w:val="00A63F3E"/>
    <w:rsid w:val="00A64102"/>
    <w:rsid w:val="00A6440B"/>
    <w:rsid w:val="00A64447"/>
    <w:rsid w:val="00A6447A"/>
    <w:rsid w:val="00A6451D"/>
    <w:rsid w:val="00A6469C"/>
    <w:rsid w:val="00A646E1"/>
    <w:rsid w:val="00A6485F"/>
    <w:rsid w:val="00A6488B"/>
    <w:rsid w:val="00A648E0"/>
    <w:rsid w:val="00A649D9"/>
    <w:rsid w:val="00A65060"/>
    <w:rsid w:val="00A653A2"/>
    <w:rsid w:val="00A657BA"/>
    <w:rsid w:val="00A65870"/>
    <w:rsid w:val="00A65A53"/>
    <w:rsid w:val="00A65BF9"/>
    <w:rsid w:val="00A65DC7"/>
    <w:rsid w:val="00A65DF3"/>
    <w:rsid w:val="00A65E34"/>
    <w:rsid w:val="00A662B1"/>
    <w:rsid w:val="00A662F1"/>
    <w:rsid w:val="00A6635A"/>
    <w:rsid w:val="00A66368"/>
    <w:rsid w:val="00A664A5"/>
    <w:rsid w:val="00A665C4"/>
    <w:rsid w:val="00A66774"/>
    <w:rsid w:val="00A66B80"/>
    <w:rsid w:val="00A66D9E"/>
    <w:rsid w:val="00A66E10"/>
    <w:rsid w:val="00A66F58"/>
    <w:rsid w:val="00A67590"/>
    <w:rsid w:val="00A67918"/>
    <w:rsid w:val="00A67CBB"/>
    <w:rsid w:val="00A67DCA"/>
    <w:rsid w:val="00A67E19"/>
    <w:rsid w:val="00A67F6D"/>
    <w:rsid w:val="00A702BA"/>
    <w:rsid w:val="00A703BC"/>
    <w:rsid w:val="00A70576"/>
    <w:rsid w:val="00A706BC"/>
    <w:rsid w:val="00A7107C"/>
    <w:rsid w:val="00A71131"/>
    <w:rsid w:val="00A71167"/>
    <w:rsid w:val="00A7117C"/>
    <w:rsid w:val="00A711C9"/>
    <w:rsid w:val="00A713E7"/>
    <w:rsid w:val="00A71495"/>
    <w:rsid w:val="00A7172E"/>
    <w:rsid w:val="00A71808"/>
    <w:rsid w:val="00A71B34"/>
    <w:rsid w:val="00A71EC3"/>
    <w:rsid w:val="00A72100"/>
    <w:rsid w:val="00A72268"/>
    <w:rsid w:val="00A725AB"/>
    <w:rsid w:val="00A72BD0"/>
    <w:rsid w:val="00A72C78"/>
    <w:rsid w:val="00A72CBB"/>
    <w:rsid w:val="00A72E21"/>
    <w:rsid w:val="00A72E8F"/>
    <w:rsid w:val="00A73390"/>
    <w:rsid w:val="00A73590"/>
    <w:rsid w:val="00A7388B"/>
    <w:rsid w:val="00A73B37"/>
    <w:rsid w:val="00A73B8C"/>
    <w:rsid w:val="00A73D4E"/>
    <w:rsid w:val="00A74263"/>
    <w:rsid w:val="00A742D0"/>
    <w:rsid w:val="00A74305"/>
    <w:rsid w:val="00A7470A"/>
    <w:rsid w:val="00A749B3"/>
    <w:rsid w:val="00A74D2E"/>
    <w:rsid w:val="00A74D75"/>
    <w:rsid w:val="00A75078"/>
    <w:rsid w:val="00A75320"/>
    <w:rsid w:val="00A754BA"/>
    <w:rsid w:val="00A7581C"/>
    <w:rsid w:val="00A759A9"/>
    <w:rsid w:val="00A75A05"/>
    <w:rsid w:val="00A760EE"/>
    <w:rsid w:val="00A762E4"/>
    <w:rsid w:val="00A765A3"/>
    <w:rsid w:val="00A76B2C"/>
    <w:rsid w:val="00A76B9A"/>
    <w:rsid w:val="00A76D48"/>
    <w:rsid w:val="00A77173"/>
    <w:rsid w:val="00A77211"/>
    <w:rsid w:val="00A77942"/>
    <w:rsid w:val="00A77957"/>
    <w:rsid w:val="00A77AC9"/>
    <w:rsid w:val="00A77B7C"/>
    <w:rsid w:val="00A77C94"/>
    <w:rsid w:val="00A77CEE"/>
    <w:rsid w:val="00A77EC2"/>
    <w:rsid w:val="00A77F47"/>
    <w:rsid w:val="00A77F5E"/>
    <w:rsid w:val="00A802A0"/>
    <w:rsid w:val="00A8052D"/>
    <w:rsid w:val="00A805C7"/>
    <w:rsid w:val="00A80888"/>
    <w:rsid w:val="00A80926"/>
    <w:rsid w:val="00A80DFE"/>
    <w:rsid w:val="00A80E8E"/>
    <w:rsid w:val="00A80EED"/>
    <w:rsid w:val="00A81024"/>
    <w:rsid w:val="00A811B0"/>
    <w:rsid w:val="00A8136A"/>
    <w:rsid w:val="00A81442"/>
    <w:rsid w:val="00A8148B"/>
    <w:rsid w:val="00A81575"/>
    <w:rsid w:val="00A815DF"/>
    <w:rsid w:val="00A816D0"/>
    <w:rsid w:val="00A81724"/>
    <w:rsid w:val="00A818EA"/>
    <w:rsid w:val="00A82189"/>
    <w:rsid w:val="00A824A8"/>
    <w:rsid w:val="00A824BD"/>
    <w:rsid w:val="00A82575"/>
    <w:rsid w:val="00A8268E"/>
    <w:rsid w:val="00A82966"/>
    <w:rsid w:val="00A82B9D"/>
    <w:rsid w:val="00A82CEF"/>
    <w:rsid w:val="00A83158"/>
    <w:rsid w:val="00A83176"/>
    <w:rsid w:val="00A83221"/>
    <w:rsid w:val="00A832D6"/>
    <w:rsid w:val="00A83300"/>
    <w:rsid w:val="00A8354B"/>
    <w:rsid w:val="00A8357D"/>
    <w:rsid w:val="00A83734"/>
    <w:rsid w:val="00A839BC"/>
    <w:rsid w:val="00A839EC"/>
    <w:rsid w:val="00A8402E"/>
    <w:rsid w:val="00A84139"/>
    <w:rsid w:val="00A843D5"/>
    <w:rsid w:val="00A84444"/>
    <w:rsid w:val="00A844DD"/>
    <w:rsid w:val="00A84509"/>
    <w:rsid w:val="00A845A1"/>
    <w:rsid w:val="00A84801"/>
    <w:rsid w:val="00A84841"/>
    <w:rsid w:val="00A84908"/>
    <w:rsid w:val="00A84948"/>
    <w:rsid w:val="00A84954"/>
    <w:rsid w:val="00A84C78"/>
    <w:rsid w:val="00A84D1F"/>
    <w:rsid w:val="00A84DAB"/>
    <w:rsid w:val="00A85379"/>
    <w:rsid w:val="00A85512"/>
    <w:rsid w:val="00A8582D"/>
    <w:rsid w:val="00A85CBA"/>
    <w:rsid w:val="00A85D87"/>
    <w:rsid w:val="00A86156"/>
    <w:rsid w:val="00A86299"/>
    <w:rsid w:val="00A86473"/>
    <w:rsid w:val="00A86476"/>
    <w:rsid w:val="00A867AD"/>
    <w:rsid w:val="00A869D9"/>
    <w:rsid w:val="00A86A3B"/>
    <w:rsid w:val="00A86FED"/>
    <w:rsid w:val="00A870C3"/>
    <w:rsid w:val="00A87439"/>
    <w:rsid w:val="00A876C4"/>
    <w:rsid w:val="00A877C8"/>
    <w:rsid w:val="00A8782D"/>
    <w:rsid w:val="00A87882"/>
    <w:rsid w:val="00A8791D"/>
    <w:rsid w:val="00A87BB1"/>
    <w:rsid w:val="00A87CCF"/>
    <w:rsid w:val="00A9001A"/>
    <w:rsid w:val="00A901DA"/>
    <w:rsid w:val="00A905DC"/>
    <w:rsid w:val="00A9063C"/>
    <w:rsid w:val="00A907D6"/>
    <w:rsid w:val="00A907FE"/>
    <w:rsid w:val="00A90A7B"/>
    <w:rsid w:val="00A90DC4"/>
    <w:rsid w:val="00A90F18"/>
    <w:rsid w:val="00A91160"/>
    <w:rsid w:val="00A91242"/>
    <w:rsid w:val="00A915BF"/>
    <w:rsid w:val="00A9163A"/>
    <w:rsid w:val="00A916A1"/>
    <w:rsid w:val="00A9176F"/>
    <w:rsid w:val="00A91A9D"/>
    <w:rsid w:val="00A91AD0"/>
    <w:rsid w:val="00A91C1B"/>
    <w:rsid w:val="00A91CAD"/>
    <w:rsid w:val="00A91D26"/>
    <w:rsid w:val="00A91E1C"/>
    <w:rsid w:val="00A92074"/>
    <w:rsid w:val="00A92343"/>
    <w:rsid w:val="00A9244F"/>
    <w:rsid w:val="00A925E6"/>
    <w:rsid w:val="00A92670"/>
    <w:rsid w:val="00A9297E"/>
    <w:rsid w:val="00A92BC7"/>
    <w:rsid w:val="00A92C75"/>
    <w:rsid w:val="00A92F66"/>
    <w:rsid w:val="00A93947"/>
    <w:rsid w:val="00A93D7D"/>
    <w:rsid w:val="00A93E12"/>
    <w:rsid w:val="00A93EA5"/>
    <w:rsid w:val="00A93FE3"/>
    <w:rsid w:val="00A94428"/>
    <w:rsid w:val="00A9446B"/>
    <w:rsid w:val="00A94D13"/>
    <w:rsid w:val="00A95111"/>
    <w:rsid w:val="00A95140"/>
    <w:rsid w:val="00A954B8"/>
    <w:rsid w:val="00A955B0"/>
    <w:rsid w:val="00A95D32"/>
    <w:rsid w:val="00A96170"/>
    <w:rsid w:val="00A961ED"/>
    <w:rsid w:val="00A96261"/>
    <w:rsid w:val="00A969BA"/>
    <w:rsid w:val="00A969FA"/>
    <w:rsid w:val="00A96A14"/>
    <w:rsid w:val="00A96D4D"/>
    <w:rsid w:val="00A96DF1"/>
    <w:rsid w:val="00A96FC5"/>
    <w:rsid w:val="00A971ED"/>
    <w:rsid w:val="00A97370"/>
    <w:rsid w:val="00A973AE"/>
    <w:rsid w:val="00A97AD8"/>
    <w:rsid w:val="00A97F7D"/>
    <w:rsid w:val="00AA018D"/>
    <w:rsid w:val="00AA0674"/>
    <w:rsid w:val="00AA09C2"/>
    <w:rsid w:val="00AA0F52"/>
    <w:rsid w:val="00AA0FD9"/>
    <w:rsid w:val="00AA1695"/>
    <w:rsid w:val="00AA1730"/>
    <w:rsid w:val="00AA17CA"/>
    <w:rsid w:val="00AA1CFA"/>
    <w:rsid w:val="00AA1F7D"/>
    <w:rsid w:val="00AA210B"/>
    <w:rsid w:val="00AA282D"/>
    <w:rsid w:val="00AA29CF"/>
    <w:rsid w:val="00AA2A5B"/>
    <w:rsid w:val="00AA2B6F"/>
    <w:rsid w:val="00AA2C6C"/>
    <w:rsid w:val="00AA2D7A"/>
    <w:rsid w:val="00AA31A0"/>
    <w:rsid w:val="00AA3207"/>
    <w:rsid w:val="00AA3235"/>
    <w:rsid w:val="00AA32F1"/>
    <w:rsid w:val="00AA33D6"/>
    <w:rsid w:val="00AA3416"/>
    <w:rsid w:val="00AA3488"/>
    <w:rsid w:val="00AA35C7"/>
    <w:rsid w:val="00AA3A8C"/>
    <w:rsid w:val="00AA3ACE"/>
    <w:rsid w:val="00AA3C5A"/>
    <w:rsid w:val="00AA3CB9"/>
    <w:rsid w:val="00AA3DD3"/>
    <w:rsid w:val="00AA4282"/>
    <w:rsid w:val="00AA451A"/>
    <w:rsid w:val="00AA4ED2"/>
    <w:rsid w:val="00AA50BB"/>
    <w:rsid w:val="00AA5282"/>
    <w:rsid w:val="00AA5385"/>
    <w:rsid w:val="00AA554A"/>
    <w:rsid w:val="00AA5BDF"/>
    <w:rsid w:val="00AA5EE4"/>
    <w:rsid w:val="00AA60F1"/>
    <w:rsid w:val="00AA6311"/>
    <w:rsid w:val="00AA643B"/>
    <w:rsid w:val="00AA656F"/>
    <w:rsid w:val="00AA68C4"/>
    <w:rsid w:val="00AA6BD8"/>
    <w:rsid w:val="00AA6CD6"/>
    <w:rsid w:val="00AA6D99"/>
    <w:rsid w:val="00AA6DE9"/>
    <w:rsid w:val="00AA70B6"/>
    <w:rsid w:val="00AA7583"/>
    <w:rsid w:val="00AA7B48"/>
    <w:rsid w:val="00AA7D67"/>
    <w:rsid w:val="00AA7F17"/>
    <w:rsid w:val="00AB0040"/>
    <w:rsid w:val="00AB0291"/>
    <w:rsid w:val="00AB02B7"/>
    <w:rsid w:val="00AB0360"/>
    <w:rsid w:val="00AB0631"/>
    <w:rsid w:val="00AB0BC5"/>
    <w:rsid w:val="00AB0BF3"/>
    <w:rsid w:val="00AB0C32"/>
    <w:rsid w:val="00AB112A"/>
    <w:rsid w:val="00AB1384"/>
    <w:rsid w:val="00AB14B1"/>
    <w:rsid w:val="00AB14F2"/>
    <w:rsid w:val="00AB16CB"/>
    <w:rsid w:val="00AB16E6"/>
    <w:rsid w:val="00AB1825"/>
    <w:rsid w:val="00AB1AB4"/>
    <w:rsid w:val="00AB1B06"/>
    <w:rsid w:val="00AB1F3C"/>
    <w:rsid w:val="00AB2198"/>
    <w:rsid w:val="00AB21D3"/>
    <w:rsid w:val="00AB2353"/>
    <w:rsid w:val="00AB23AA"/>
    <w:rsid w:val="00AB24C3"/>
    <w:rsid w:val="00AB2583"/>
    <w:rsid w:val="00AB264B"/>
    <w:rsid w:val="00AB26BF"/>
    <w:rsid w:val="00AB270F"/>
    <w:rsid w:val="00AB2740"/>
    <w:rsid w:val="00AB2932"/>
    <w:rsid w:val="00AB2AA3"/>
    <w:rsid w:val="00AB30B1"/>
    <w:rsid w:val="00AB30CA"/>
    <w:rsid w:val="00AB3721"/>
    <w:rsid w:val="00AB3842"/>
    <w:rsid w:val="00AB38C8"/>
    <w:rsid w:val="00AB3C04"/>
    <w:rsid w:val="00AB400A"/>
    <w:rsid w:val="00AB4077"/>
    <w:rsid w:val="00AB4097"/>
    <w:rsid w:val="00AB4399"/>
    <w:rsid w:val="00AB4400"/>
    <w:rsid w:val="00AB44DB"/>
    <w:rsid w:val="00AB45C4"/>
    <w:rsid w:val="00AB47DF"/>
    <w:rsid w:val="00AB47ED"/>
    <w:rsid w:val="00AB4826"/>
    <w:rsid w:val="00AB49E0"/>
    <w:rsid w:val="00AB4E73"/>
    <w:rsid w:val="00AB4F0A"/>
    <w:rsid w:val="00AB4F6C"/>
    <w:rsid w:val="00AB5340"/>
    <w:rsid w:val="00AB5449"/>
    <w:rsid w:val="00AB54CA"/>
    <w:rsid w:val="00AB56A1"/>
    <w:rsid w:val="00AB5817"/>
    <w:rsid w:val="00AB584D"/>
    <w:rsid w:val="00AB5D24"/>
    <w:rsid w:val="00AB5DD0"/>
    <w:rsid w:val="00AB6056"/>
    <w:rsid w:val="00AB613C"/>
    <w:rsid w:val="00AB6449"/>
    <w:rsid w:val="00AB6484"/>
    <w:rsid w:val="00AB6704"/>
    <w:rsid w:val="00AB6813"/>
    <w:rsid w:val="00AB6830"/>
    <w:rsid w:val="00AB69C9"/>
    <w:rsid w:val="00AB6AE3"/>
    <w:rsid w:val="00AB6BB5"/>
    <w:rsid w:val="00AB6C4F"/>
    <w:rsid w:val="00AB6CCD"/>
    <w:rsid w:val="00AB713E"/>
    <w:rsid w:val="00AB74DF"/>
    <w:rsid w:val="00AB75B8"/>
    <w:rsid w:val="00AB7619"/>
    <w:rsid w:val="00AB7674"/>
    <w:rsid w:val="00AB7A50"/>
    <w:rsid w:val="00AB7C35"/>
    <w:rsid w:val="00AC002A"/>
    <w:rsid w:val="00AC0483"/>
    <w:rsid w:val="00AC0533"/>
    <w:rsid w:val="00AC0574"/>
    <w:rsid w:val="00AC066E"/>
    <w:rsid w:val="00AC0A68"/>
    <w:rsid w:val="00AC0F03"/>
    <w:rsid w:val="00AC123F"/>
    <w:rsid w:val="00AC1B92"/>
    <w:rsid w:val="00AC1E43"/>
    <w:rsid w:val="00AC2064"/>
    <w:rsid w:val="00AC20C1"/>
    <w:rsid w:val="00AC2338"/>
    <w:rsid w:val="00AC25F2"/>
    <w:rsid w:val="00AC26B3"/>
    <w:rsid w:val="00AC26B7"/>
    <w:rsid w:val="00AC2970"/>
    <w:rsid w:val="00AC2F20"/>
    <w:rsid w:val="00AC2F52"/>
    <w:rsid w:val="00AC2F69"/>
    <w:rsid w:val="00AC3234"/>
    <w:rsid w:val="00AC36CC"/>
    <w:rsid w:val="00AC388D"/>
    <w:rsid w:val="00AC39D2"/>
    <w:rsid w:val="00AC3D23"/>
    <w:rsid w:val="00AC3ED9"/>
    <w:rsid w:val="00AC3F4F"/>
    <w:rsid w:val="00AC404B"/>
    <w:rsid w:val="00AC4175"/>
    <w:rsid w:val="00AC4199"/>
    <w:rsid w:val="00AC4715"/>
    <w:rsid w:val="00AC48A0"/>
    <w:rsid w:val="00AC4C65"/>
    <w:rsid w:val="00AC4E19"/>
    <w:rsid w:val="00AC5251"/>
    <w:rsid w:val="00AC58DB"/>
    <w:rsid w:val="00AC5A37"/>
    <w:rsid w:val="00AC5C46"/>
    <w:rsid w:val="00AC5CDC"/>
    <w:rsid w:val="00AC5E1A"/>
    <w:rsid w:val="00AC5E75"/>
    <w:rsid w:val="00AC5F76"/>
    <w:rsid w:val="00AC615B"/>
    <w:rsid w:val="00AC6343"/>
    <w:rsid w:val="00AC6495"/>
    <w:rsid w:val="00AC6757"/>
    <w:rsid w:val="00AC688B"/>
    <w:rsid w:val="00AC6A85"/>
    <w:rsid w:val="00AC7105"/>
    <w:rsid w:val="00AC711B"/>
    <w:rsid w:val="00AC7273"/>
    <w:rsid w:val="00AC73A4"/>
    <w:rsid w:val="00AC753A"/>
    <w:rsid w:val="00AC756D"/>
    <w:rsid w:val="00AC7722"/>
    <w:rsid w:val="00AC7732"/>
    <w:rsid w:val="00AC77DF"/>
    <w:rsid w:val="00AC7823"/>
    <w:rsid w:val="00AC7A1C"/>
    <w:rsid w:val="00AC7AC5"/>
    <w:rsid w:val="00AC7AFE"/>
    <w:rsid w:val="00AC7D21"/>
    <w:rsid w:val="00AC7E20"/>
    <w:rsid w:val="00AC7E39"/>
    <w:rsid w:val="00AD010F"/>
    <w:rsid w:val="00AD02CD"/>
    <w:rsid w:val="00AD02FE"/>
    <w:rsid w:val="00AD07F5"/>
    <w:rsid w:val="00AD0CAB"/>
    <w:rsid w:val="00AD0D38"/>
    <w:rsid w:val="00AD0F3F"/>
    <w:rsid w:val="00AD0F8A"/>
    <w:rsid w:val="00AD12CF"/>
    <w:rsid w:val="00AD1419"/>
    <w:rsid w:val="00AD1805"/>
    <w:rsid w:val="00AD1AAF"/>
    <w:rsid w:val="00AD2017"/>
    <w:rsid w:val="00AD21C9"/>
    <w:rsid w:val="00AD29AC"/>
    <w:rsid w:val="00AD2B6C"/>
    <w:rsid w:val="00AD2FFE"/>
    <w:rsid w:val="00AD3165"/>
    <w:rsid w:val="00AD3643"/>
    <w:rsid w:val="00AD3648"/>
    <w:rsid w:val="00AD369D"/>
    <w:rsid w:val="00AD37BC"/>
    <w:rsid w:val="00AD38B6"/>
    <w:rsid w:val="00AD3B5D"/>
    <w:rsid w:val="00AD3BE6"/>
    <w:rsid w:val="00AD3C53"/>
    <w:rsid w:val="00AD3DC2"/>
    <w:rsid w:val="00AD3E49"/>
    <w:rsid w:val="00AD421A"/>
    <w:rsid w:val="00AD4482"/>
    <w:rsid w:val="00AD45FC"/>
    <w:rsid w:val="00AD49DE"/>
    <w:rsid w:val="00AD49F9"/>
    <w:rsid w:val="00AD4B31"/>
    <w:rsid w:val="00AD4D0A"/>
    <w:rsid w:val="00AD4F36"/>
    <w:rsid w:val="00AD5392"/>
    <w:rsid w:val="00AD5576"/>
    <w:rsid w:val="00AD5765"/>
    <w:rsid w:val="00AD58BE"/>
    <w:rsid w:val="00AD59E5"/>
    <w:rsid w:val="00AD5D8F"/>
    <w:rsid w:val="00AD6706"/>
    <w:rsid w:val="00AD6E4C"/>
    <w:rsid w:val="00AD7006"/>
    <w:rsid w:val="00AD70EA"/>
    <w:rsid w:val="00AD73F5"/>
    <w:rsid w:val="00AD7686"/>
    <w:rsid w:val="00AD774F"/>
    <w:rsid w:val="00AD7809"/>
    <w:rsid w:val="00AD78BF"/>
    <w:rsid w:val="00AD78D8"/>
    <w:rsid w:val="00AD7AEF"/>
    <w:rsid w:val="00AD7B2D"/>
    <w:rsid w:val="00AD7BDF"/>
    <w:rsid w:val="00AE0054"/>
    <w:rsid w:val="00AE00E2"/>
    <w:rsid w:val="00AE0118"/>
    <w:rsid w:val="00AE0160"/>
    <w:rsid w:val="00AE024C"/>
    <w:rsid w:val="00AE035B"/>
    <w:rsid w:val="00AE04DC"/>
    <w:rsid w:val="00AE0A04"/>
    <w:rsid w:val="00AE0AF1"/>
    <w:rsid w:val="00AE0B2C"/>
    <w:rsid w:val="00AE11DF"/>
    <w:rsid w:val="00AE1866"/>
    <w:rsid w:val="00AE1A14"/>
    <w:rsid w:val="00AE1B5A"/>
    <w:rsid w:val="00AE1E63"/>
    <w:rsid w:val="00AE207E"/>
    <w:rsid w:val="00AE2118"/>
    <w:rsid w:val="00AE2158"/>
    <w:rsid w:val="00AE218F"/>
    <w:rsid w:val="00AE234C"/>
    <w:rsid w:val="00AE2594"/>
    <w:rsid w:val="00AE25CF"/>
    <w:rsid w:val="00AE298A"/>
    <w:rsid w:val="00AE2A53"/>
    <w:rsid w:val="00AE2E50"/>
    <w:rsid w:val="00AE3629"/>
    <w:rsid w:val="00AE3689"/>
    <w:rsid w:val="00AE3924"/>
    <w:rsid w:val="00AE3CE8"/>
    <w:rsid w:val="00AE3E1B"/>
    <w:rsid w:val="00AE402D"/>
    <w:rsid w:val="00AE40E2"/>
    <w:rsid w:val="00AE40E7"/>
    <w:rsid w:val="00AE40FB"/>
    <w:rsid w:val="00AE41E5"/>
    <w:rsid w:val="00AE41F2"/>
    <w:rsid w:val="00AE4333"/>
    <w:rsid w:val="00AE47D5"/>
    <w:rsid w:val="00AE48FD"/>
    <w:rsid w:val="00AE49A7"/>
    <w:rsid w:val="00AE4A1E"/>
    <w:rsid w:val="00AE4C87"/>
    <w:rsid w:val="00AE52EC"/>
    <w:rsid w:val="00AE593E"/>
    <w:rsid w:val="00AE5F55"/>
    <w:rsid w:val="00AE663E"/>
    <w:rsid w:val="00AE6941"/>
    <w:rsid w:val="00AE6AAB"/>
    <w:rsid w:val="00AE6CA4"/>
    <w:rsid w:val="00AE6DD0"/>
    <w:rsid w:val="00AE74B1"/>
    <w:rsid w:val="00AE7E8F"/>
    <w:rsid w:val="00AE7EAA"/>
    <w:rsid w:val="00AF05F2"/>
    <w:rsid w:val="00AF0C56"/>
    <w:rsid w:val="00AF0D93"/>
    <w:rsid w:val="00AF1301"/>
    <w:rsid w:val="00AF14B1"/>
    <w:rsid w:val="00AF1978"/>
    <w:rsid w:val="00AF19C8"/>
    <w:rsid w:val="00AF1A4B"/>
    <w:rsid w:val="00AF1C15"/>
    <w:rsid w:val="00AF1DDC"/>
    <w:rsid w:val="00AF1E50"/>
    <w:rsid w:val="00AF1ED5"/>
    <w:rsid w:val="00AF20A7"/>
    <w:rsid w:val="00AF2310"/>
    <w:rsid w:val="00AF24F9"/>
    <w:rsid w:val="00AF2518"/>
    <w:rsid w:val="00AF2593"/>
    <w:rsid w:val="00AF2C99"/>
    <w:rsid w:val="00AF2F9C"/>
    <w:rsid w:val="00AF307E"/>
    <w:rsid w:val="00AF321C"/>
    <w:rsid w:val="00AF3596"/>
    <w:rsid w:val="00AF389C"/>
    <w:rsid w:val="00AF3B22"/>
    <w:rsid w:val="00AF3F37"/>
    <w:rsid w:val="00AF4034"/>
    <w:rsid w:val="00AF4411"/>
    <w:rsid w:val="00AF479D"/>
    <w:rsid w:val="00AF4B8A"/>
    <w:rsid w:val="00AF4DC3"/>
    <w:rsid w:val="00AF4E42"/>
    <w:rsid w:val="00AF508B"/>
    <w:rsid w:val="00AF52A7"/>
    <w:rsid w:val="00AF535F"/>
    <w:rsid w:val="00AF568C"/>
    <w:rsid w:val="00AF5973"/>
    <w:rsid w:val="00AF5B60"/>
    <w:rsid w:val="00AF5BBD"/>
    <w:rsid w:val="00AF5CEE"/>
    <w:rsid w:val="00AF5D55"/>
    <w:rsid w:val="00AF5E58"/>
    <w:rsid w:val="00AF61F5"/>
    <w:rsid w:val="00AF6455"/>
    <w:rsid w:val="00AF6533"/>
    <w:rsid w:val="00AF661A"/>
    <w:rsid w:val="00AF6639"/>
    <w:rsid w:val="00AF668A"/>
    <w:rsid w:val="00AF6772"/>
    <w:rsid w:val="00AF67A7"/>
    <w:rsid w:val="00AF68B1"/>
    <w:rsid w:val="00AF6933"/>
    <w:rsid w:val="00AF6EEF"/>
    <w:rsid w:val="00AF74A0"/>
    <w:rsid w:val="00AF74E3"/>
    <w:rsid w:val="00AF75A7"/>
    <w:rsid w:val="00AF7B3D"/>
    <w:rsid w:val="00AF7F31"/>
    <w:rsid w:val="00B003B0"/>
    <w:rsid w:val="00B00589"/>
    <w:rsid w:val="00B009E6"/>
    <w:rsid w:val="00B00BA0"/>
    <w:rsid w:val="00B00EA2"/>
    <w:rsid w:val="00B00EBB"/>
    <w:rsid w:val="00B00F7E"/>
    <w:rsid w:val="00B010CD"/>
    <w:rsid w:val="00B0115C"/>
    <w:rsid w:val="00B012CC"/>
    <w:rsid w:val="00B01798"/>
    <w:rsid w:val="00B01B59"/>
    <w:rsid w:val="00B01B8B"/>
    <w:rsid w:val="00B01CAD"/>
    <w:rsid w:val="00B01D32"/>
    <w:rsid w:val="00B02150"/>
    <w:rsid w:val="00B021F8"/>
    <w:rsid w:val="00B0272A"/>
    <w:rsid w:val="00B02730"/>
    <w:rsid w:val="00B027BF"/>
    <w:rsid w:val="00B029DB"/>
    <w:rsid w:val="00B02B33"/>
    <w:rsid w:val="00B02CF0"/>
    <w:rsid w:val="00B02DF8"/>
    <w:rsid w:val="00B02EFC"/>
    <w:rsid w:val="00B02FE3"/>
    <w:rsid w:val="00B03540"/>
    <w:rsid w:val="00B0384B"/>
    <w:rsid w:val="00B04003"/>
    <w:rsid w:val="00B040CA"/>
    <w:rsid w:val="00B042F5"/>
    <w:rsid w:val="00B046B0"/>
    <w:rsid w:val="00B04841"/>
    <w:rsid w:val="00B0494C"/>
    <w:rsid w:val="00B04A74"/>
    <w:rsid w:val="00B04D08"/>
    <w:rsid w:val="00B04D0F"/>
    <w:rsid w:val="00B04EF2"/>
    <w:rsid w:val="00B051ED"/>
    <w:rsid w:val="00B05206"/>
    <w:rsid w:val="00B0537C"/>
    <w:rsid w:val="00B053A9"/>
    <w:rsid w:val="00B053EF"/>
    <w:rsid w:val="00B0546A"/>
    <w:rsid w:val="00B055C3"/>
    <w:rsid w:val="00B05B7A"/>
    <w:rsid w:val="00B060D0"/>
    <w:rsid w:val="00B060FA"/>
    <w:rsid w:val="00B061BE"/>
    <w:rsid w:val="00B06377"/>
    <w:rsid w:val="00B06CC7"/>
    <w:rsid w:val="00B06D41"/>
    <w:rsid w:val="00B06D52"/>
    <w:rsid w:val="00B070A3"/>
    <w:rsid w:val="00B071B9"/>
    <w:rsid w:val="00B0725D"/>
    <w:rsid w:val="00B07453"/>
    <w:rsid w:val="00B0758E"/>
    <w:rsid w:val="00B076AC"/>
    <w:rsid w:val="00B07764"/>
    <w:rsid w:val="00B0780E"/>
    <w:rsid w:val="00B07A7F"/>
    <w:rsid w:val="00B07B98"/>
    <w:rsid w:val="00B07CB3"/>
    <w:rsid w:val="00B07E40"/>
    <w:rsid w:val="00B1019B"/>
    <w:rsid w:val="00B1079B"/>
    <w:rsid w:val="00B110FF"/>
    <w:rsid w:val="00B111E5"/>
    <w:rsid w:val="00B11A10"/>
    <w:rsid w:val="00B11BB3"/>
    <w:rsid w:val="00B11DBB"/>
    <w:rsid w:val="00B12336"/>
    <w:rsid w:val="00B12651"/>
    <w:rsid w:val="00B1284C"/>
    <w:rsid w:val="00B128DC"/>
    <w:rsid w:val="00B129BB"/>
    <w:rsid w:val="00B12A5F"/>
    <w:rsid w:val="00B12B32"/>
    <w:rsid w:val="00B12C10"/>
    <w:rsid w:val="00B13205"/>
    <w:rsid w:val="00B13388"/>
    <w:rsid w:val="00B13450"/>
    <w:rsid w:val="00B136ED"/>
    <w:rsid w:val="00B1377B"/>
    <w:rsid w:val="00B139FD"/>
    <w:rsid w:val="00B13C18"/>
    <w:rsid w:val="00B1422A"/>
    <w:rsid w:val="00B1451C"/>
    <w:rsid w:val="00B145DC"/>
    <w:rsid w:val="00B1473A"/>
    <w:rsid w:val="00B1476E"/>
    <w:rsid w:val="00B1493A"/>
    <w:rsid w:val="00B14DBA"/>
    <w:rsid w:val="00B15111"/>
    <w:rsid w:val="00B1587C"/>
    <w:rsid w:val="00B15B58"/>
    <w:rsid w:val="00B15C42"/>
    <w:rsid w:val="00B15C58"/>
    <w:rsid w:val="00B15C60"/>
    <w:rsid w:val="00B160B3"/>
    <w:rsid w:val="00B1641D"/>
    <w:rsid w:val="00B1657C"/>
    <w:rsid w:val="00B16739"/>
    <w:rsid w:val="00B16B45"/>
    <w:rsid w:val="00B16F3A"/>
    <w:rsid w:val="00B1707D"/>
    <w:rsid w:val="00B1724B"/>
    <w:rsid w:val="00B17575"/>
    <w:rsid w:val="00B17630"/>
    <w:rsid w:val="00B17CCF"/>
    <w:rsid w:val="00B201FD"/>
    <w:rsid w:val="00B2027B"/>
    <w:rsid w:val="00B203C9"/>
    <w:rsid w:val="00B204C8"/>
    <w:rsid w:val="00B205E7"/>
    <w:rsid w:val="00B2065B"/>
    <w:rsid w:val="00B20E46"/>
    <w:rsid w:val="00B2100C"/>
    <w:rsid w:val="00B2163E"/>
    <w:rsid w:val="00B21697"/>
    <w:rsid w:val="00B216F3"/>
    <w:rsid w:val="00B217B9"/>
    <w:rsid w:val="00B2186C"/>
    <w:rsid w:val="00B21925"/>
    <w:rsid w:val="00B21AF0"/>
    <w:rsid w:val="00B21C65"/>
    <w:rsid w:val="00B21E86"/>
    <w:rsid w:val="00B222D4"/>
    <w:rsid w:val="00B22680"/>
    <w:rsid w:val="00B226EE"/>
    <w:rsid w:val="00B2276E"/>
    <w:rsid w:val="00B229AF"/>
    <w:rsid w:val="00B22A90"/>
    <w:rsid w:val="00B22AC9"/>
    <w:rsid w:val="00B22D63"/>
    <w:rsid w:val="00B22F3F"/>
    <w:rsid w:val="00B23A3E"/>
    <w:rsid w:val="00B23E16"/>
    <w:rsid w:val="00B23E18"/>
    <w:rsid w:val="00B2408C"/>
    <w:rsid w:val="00B24138"/>
    <w:rsid w:val="00B24631"/>
    <w:rsid w:val="00B24937"/>
    <w:rsid w:val="00B24986"/>
    <w:rsid w:val="00B24A19"/>
    <w:rsid w:val="00B24A4F"/>
    <w:rsid w:val="00B24AFC"/>
    <w:rsid w:val="00B24E95"/>
    <w:rsid w:val="00B25288"/>
    <w:rsid w:val="00B2538F"/>
    <w:rsid w:val="00B25637"/>
    <w:rsid w:val="00B256C2"/>
    <w:rsid w:val="00B25800"/>
    <w:rsid w:val="00B258DC"/>
    <w:rsid w:val="00B25B10"/>
    <w:rsid w:val="00B25BCB"/>
    <w:rsid w:val="00B25F56"/>
    <w:rsid w:val="00B264D6"/>
    <w:rsid w:val="00B26903"/>
    <w:rsid w:val="00B26B94"/>
    <w:rsid w:val="00B26D73"/>
    <w:rsid w:val="00B271FC"/>
    <w:rsid w:val="00B27204"/>
    <w:rsid w:val="00B27309"/>
    <w:rsid w:val="00B274FD"/>
    <w:rsid w:val="00B2796E"/>
    <w:rsid w:val="00B27D8B"/>
    <w:rsid w:val="00B30233"/>
    <w:rsid w:val="00B302DD"/>
    <w:rsid w:val="00B30734"/>
    <w:rsid w:val="00B30AC7"/>
    <w:rsid w:val="00B30B8F"/>
    <w:rsid w:val="00B30E45"/>
    <w:rsid w:val="00B30E67"/>
    <w:rsid w:val="00B30E69"/>
    <w:rsid w:val="00B30EDF"/>
    <w:rsid w:val="00B310AB"/>
    <w:rsid w:val="00B31121"/>
    <w:rsid w:val="00B3114E"/>
    <w:rsid w:val="00B31434"/>
    <w:rsid w:val="00B31669"/>
    <w:rsid w:val="00B31675"/>
    <w:rsid w:val="00B317BB"/>
    <w:rsid w:val="00B31BDB"/>
    <w:rsid w:val="00B31C22"/>
    <w:rsid w:val="00B322D6"/>
    <w:rsid w:val="00B32579"/>
    <w:rsid w:val="00B32C9D"/>
    <w:rsid w:val="00B32E38"/>
    <w:rsid w:val="00B33077"/>
    <w:rsid w:val="00B330FC"/>
    <w:rsid w:val="00B3314D"/>
    <w:rsid w:val="00B33260"/>
    <w:rsid w:val="00B333FD"/>
    <w:rsid w:val="00B33590"/>
    <w:rsid w:val="00B3367A"/>
    <w:rsid w:val="00B33722"/>
    <w:rsid w:val="00B337F2"/>
    <w:rsid w:val="00B3383B"/>
    <w:rsid w:val="00B338EE"/>
    <w:rsid w:val="00B33A20"/>
    <w:rsid w:val="00B33EC1"/>
    <w:rsid w:val="00B34019"/>
    <w:rsid w:val="00B340CE"/>
    <w:rsid w:val="00B341F3"/>
    <w:rsid w:val="00B3442A"/>
    <w:rsid w:val="00B34517"/>
    <w:rsid w:val="00B346FD"/>
    <w:rsid w:val="00B34C59"/>
    <w:rsid w:val="00B34E53"/>
    <w:rsid w:val="00B34EC7"/>
    <w:rsid w:val="00B34EF9"/>
    <w:rsid w:val="00B34F20"/>
    <w:rsid w:val="00B35162"/>
    <w:rsid w:val="00B35225"/>
    <w:rsid w:val="00B35500"/>
    <w:rsid w:val="00B35740"/>
    <w:rsid w:val="00B358E8"/>
    <w:rsid w:val="00B359C1"/>
    <w:rsid w:val="00B35B98"/>
    <w:rsid w:val="00B35CF5"/>
    <w:rsid w:val="00B35ECA"/>
    <w:rsid w:val="00B36055"/>
    <w:rsid w:val="00B36483"/>
    <w:rsid w:val="00B36503"/>
    <w:rsid w:val="00B368C2"/>
    <w:rsid w:val="00B368ED"/>
    <w:rsid w:val="00B36A63"/>
    <w:rsid w:val="00B36B43"/>
    <w:rsid w:val="00B36E90"/>
    <w:rsid w:val="00B374FF"/>
    <w:rsid w:val="00B376BF"/>
    <w:rsid w:val="00B37703"/>
    <w:rsid w:val="00B37799"/>
    <w:rsid w:val="00B37815"/>
    <w:rsid w:val="00B37A94"/>
    <w:rsid w:val="00B37A97"/>
    <w:rsid w:val="00B37BE1"/>
    <w:rsid w:val="00B37DBC"/>
    <w:rsid w:val="00B402E8"/>
    <w:rsid w:val="00B4033F"/>
    <w:rsid w:val="00B409C2"/>
    <w:rsid w:val="00B41274"/>
    <w:rsid w:val="00B4142C"/>
    <w:rsid w:val="00B415B3"/>
    <w:rsid w:val="00B4162D"/>
    <w:rsid w:val="00B41841"/>
    <w:rsid w:val="00B4198F"/>
    <w:rsid w:val="00B41AC9"/>
    <w:rsid w:val="00B41C35"/>
    <w:rsid w:val="00B41FBA"/>
    <w:rsid w:val="00B42079"/>
    <w:rsid w:val="00B420C1"/>
    <w:rsid w:val="00B4252D"/>
    <w:rsid w:val="00B42674"/>
    <w:rsid w:val="00B426B0"/>
    <w:rsid w:val="00B4272A"/>
    <w:rsid w:val="00B42CD5"/>
    <w:rsid w:val="00B4308A"/>
    <w:rsid w:val="00B432DE"/>
    <w:rsid w:val="00B43425"/>
    <w:rsid w:val="00B436B6"/>
    <w:rsid w:val="00B4377D"/>
    <w:rsid w:val="00B4385B"/>
    <w:rsid w:val="00B438E5"/>
    <w:rsid w:val="00B43E4C"/>
    <w:rsid w:val="00B43ECC"/>
    <w:rsid w:val="00B444A6"/>
    <w:rsid w:val="00B44DFA"/>
    <w:rsid w:val="00B44E47"/>
    <w:rsid w:val="00B45208"/>
    <w:rsid w:val="00B4520F"/>
    <w:rsid w:val="00B45384"/>
    <w:rsid w:val="00B453BC"/>
    <w:rsid w:val="00B45527"/>
    <w:rsid w:val="00B455EB"/>
    <w:rsid w:val="00B45939"/>
    <w:rsid w:val="00B45959"/>
    <w:rsid w:val="00B45E62"/>
    <w:rsid w:val="00B46017"/>
    <w:rsid w:val="00B46373"/>
    <w:rsid w:val="00B46722"/>
    <w:rsid w:val="00B4680E"/>
    <w:rsid w:val="00B46869"/>
    <w:rsid w:val="00B46A25"/>
    <w:rsid w:val="00B46D5A"/>
    <w:rsid w:val="00B471BF"/>
    <w:rsid w:val="00B472C6"/>
    <w:rsid w:val="00B473E3"/>
    <w:rsid w:val="00B47855"/>
    <w:rsid w:val="00B4793B"/>
    <w:rsid w:val="00B47AF5"/>
    <w:rsid w:val="00B47BC5"/>
    <w:rsid w:val="00B47C9F"/>
    <w:rsid w:val="00B47CC4"/>
    <w:rsid w:val="00B50004"/>
    <w:rsid w:val="00B502ED"/>
    <w:rsid w:val="00B50302"/>
    <w:rsid w:val="00B50904"/>
    <w:rsid w:val="00B50B43"/>
    <w:rsid w:val="00B50B86"/>
    <w:rsid w:val="00B50EA2"/>
    <w:rsid w:val="00B50FAA"/>
    <w:rsid w:val="00B51316"/>
    <w:rsid w:val="00B51448"/>
    <w:rsid w:val="00B51487"/>
    <w:rsid w:val="00B5175E"/>
    <w:rsid w:val="00B51B78"/>
    <w:rsid w:val="00B51CA3"/>
    <w:rsid w:val="00B51FBE"/>
    <w:rsid w:val="00B51FFA"/>
    <w:rsid w:val="00B5201D"/>
    <w:rsid w:val="00B52691"/>
    <w:rsid w:val="00B52935"/>
    <w:rsid w:val="00B52970"/>
    <w:rsid w:val="00B52AE1"/>
    <w:rsid w:val="00B52BEA"/>
    <w:rsid w:val="00B52BF8"/>
    <w:rsid w:val="00B52E68"/>
    <w:rsid w:val="00B52F97"/>
    <w:rsid w:val="00B535D4"/>
    <w:rsid w:val="00B536CA"/>
    <w:rsid w:val="00B536FA"/>
    <w:rsid w:val="00B53851"/>
    <w:rsid w:val="00B53DEC"/>
    <w:rsid w:val="00B5422A"/>
    <w:rsid w:val="00B5430A"/>
    <w:rsid w:val="00B544E5"/>
    <w:rsid w:val="00B547BD"/>
    <w:rsid w:val="00B54BF8"/>
    <w:rsid w:val="00B54E7A"/>
    <w:rsid w:val="00B54F9F"/>
    <w:rsid w:val="00B54FCD"/>
    <w:rsid w:val="00B552CC"/>
    <w:rsid w:val="00B552F3"/>
    <w:rsid w:val="00B55507"/>
    <w:rsid w:val="00B55A8A"/>
    <w:rsid w:val="00B55CAF"/>
    <w:rsid w:val="00B55E7A"/>
    <w:rsid w:val="00B55E80"/>
    <w:rsid w:val="00B56221"/>
    <w:rsid w:val="00B562B7"/>
    <w:rsid w:val="00B56723"/>
    <w:rsid w:val="00B568C8"/>
    <w:rsid w:val="00B56B42"/>
    <w:rsid w:val="00B56CE5"/>
    <w:rsid w:val="00B56D10"/>
    <w:rsid w:val="00B56EBC"/>
    <w:rsid w:val="00B56F74"/>
    <w:rsid w:val="00B57158"/>
    <w:rsid w:val="00B573D9"/>
    <w:rsid w:val="00B57A41"/>
    <w:rsid w:val="00B57B79"/>
    <w:rsid w:val="00B57EAB"/>
    <w:rsid w:val="00B57F6D"/>
    <w:rsid w:val="00B60062"/>
    <w:rsid w:val="00B6012C"/>
    <w:rsid w:val="00B602A7"/>
    <w:rsid w:val="00B6045D"/>
    <w:rsid w:val="00B607D3"/>
    <w:rsid w:val="00B60959"/>
    <w:rsid w:val="00B60A9E"/>
    <w:rsid w:val="00B61004"/>
    <w:rsid w:val="00B611A0"/>
    <w:rsid w:val="00B614CD"/>
    <w:rsid w:val="00B61851"/>
    <w:rsid w:val="00B61B13"/>
    <w:rsid w:val="00B61DB7"/>
    <w:rsid w:val="00B61F8C"/>
    <w:rsid w:val="00B61FEC"/>
    <w:rsid w:val="00B622D5"/>
    <w:rsid w:val="00B623DB"/>
    <w:rsid w:val="00B62574"/>
    <w:rsid w:val="00B62EF9"/>
    <w:rsid w:val="00B62F66"/>
    <w:rsid w:val="00B63010"/>
    <w:rsid w:val="00B6329D"/>
    <w:rsid w:val="00B635AD"/>
    <w:rsid w:val="00B6383D"/>
    <w:rsid w:val="00B63864"/>
    <w:rsid w:val="00B63A25"/>
    <w:rsid w:val="00B63CB9"/>
    <w:rsid w:val="00B63EC3"/>
    <w:rsid w:val="00B63FB8"/>
    <w:rsid w:val="00B644A0"/>
    <w:rsid w:val="00B64588"/>
    <w:rsid w:val="00B646C7"/>
    <w:rsid w:val="00B64E21"/>
    <w:rsid w:val="00B650FB"/>
    <w:rsid w:val="00B65169"/>
    <w:rsid w:val="00B6519C"/>
    <w:rsid w:val="00B652C4"/>
    <w:rsid w:val="00B6543F"/>
    <w:rsid w:val="00B65446"/>
    <w:rsid w:val="00B65784"/>
    <w:rsid w:val="00B65953"/>
    <w:rsid w:val="00B65987"/>
    <w:rsid w:val="00B65A4E"/>
    <w:rsid w:val="00B65AF5"/>
    <w:rsid w:val="00B65C3C"/>
    <w:rsid w:val="00B65DFC"/>
    <w:rsid w:val="00B65E7C"/>
    <w:rsid w:val="00B65FA5"/>
    <w:rsid w:val="00B66161"/>
    <w:rsid w:val="00B66282"/>
    <w:rsid w:val="00B6637A"/>
    <w:rsid w:val="00B66434"/>
    <w:rsid w:val="00B6667C"/>
    <w:rsid w:val="00B666E4"/>
    <w:rsid w:val="00B66966"/>
    <w:rsid w:val="00B66C77"/>
    <w:rsid w:val="00B66C93"/>
    <w:rsid w:val="00B66D79"/>
    <w:rsid w:val="00B66EAA"/>
    <w:rsid w:val="00B67460"/>
    <w:rsid w:val="00B67493"/>
    <w:rsid w:val="00B67850"/>
    <w:rsid w:val="00B67C00"/>
    <w:rsid w:val="00B702A1"/>
    <w:rsid w:val="00B70329"/>
    <w:rsid w:val="00B70356"/>
    <w:rsid w:val="00B70826"/>
    <w:rsid w:val="00B70AFE"/>
    <w:rsid w:val="00B70C81"/>
    <w:rsid w:val="00B70E5E"/>
    <w:rsid w:val="00B7129A"/>
    <w:rsid w:val="00B712DA"/>
    <w:rsid w:val="00B71425"/>
    <w:rsid w:val="00B71599"/>
    <w:rsid w:val="00B715F0"/>
    <w:rsid w:val="00B71703"/>
    <w:rsid w:val="00B71B47"/>
    <w:rsid w:val="00B71B85"/>
    <w:rsid w:val="00B71BDC"/>
    <w:rsid w:val="00B71F7B"/>
    <w:rsid w:val="00B7203D"/>
    <w:rsid w:val="00B72148"/>
    <w:rsid w:val="00B72483"/>
    <w:rsid w:val="00B7248C"/>
    <w:rsid w:val="00B724DB"/>
    <w:rsid w:val="00B7267E"/>
    <w:rsid w:val="00B726AC"/>
    <w:rsid w:val="00B727AF"/>
    <w:rsid w:val="00B72AE3"/>
    <w:rsid w:val="00B72F28"/>
    <w:rsid w:val="00B72FA7"/>
    <w:rsid w:val="00B731BD"/>
    <w:rsid w:val="00B7324D"/>
    <w:rsid w:val="00B73279"/>
    <w:rsid w:val="00B734B9"/>
    <w:rsid w:val="00B73890"/>
    <w:rsid w:val="00B73A1F"/>
    <w:rsid w:val="00B73B0D"/>
    <w:rsid w:val="00B73B5C"/>
    <w:rsid w:val="00B741C6"/>
    <w:rsid w:val="00B74816"/>
    <w:rsid w:val="00B74865"/>
    <w:rsid w:val="00B74D27"/>
    <w:rsid w:val="00B74F8D"/>
    <w:rsid w:val="00B75074"/>
    <w:rsid w:val="00B75085"/>
    <w:rsid w:val="00B75599"/>
    <w:rsid w:val="00B757F4"/>
    <w:rsid w:val="00B759F0"/>
    <w:rsid w:val="00B75C19"/>
    <w:rsid w:val="00B75C90"/>
    <w:rsid w:val="00B75E9F"/>
    <w:rsid w:val="00B7612F"/>
    <w:rsid w:val="00B762B5"/>
    <w:rsid w:val="00B766E0"/>
    <w:rsid w:val="00B76884"/>
    <w:rsid w:val="00B76E75"/>
    <w:rsid w:val="00B76EF2"/>
    <w:rsid w:val="00B77118"/>
    <w:rsid w:val="00B7728D"/>
    <w:rsid w:val="00B772C2"/>
    <w:rsid w:val="00B77308"/>
    <w:rsid w:val="00B7756A"/>
    <w:rsid w:val="00B77574"/>
    <w:rsid w:val="00B778BA"/>
    <w:rsid w:val="00B77BF4"/>
    <w:rsid w:val="00B77C70"/>
    <w:rsid w:val="00B77D8A"/>
    <w:rsid w:val="00B80155"/>
    <w:rsid w:val="00B801EE"/>
    <w:rsid w:val="00B80982"/>
    <w:rsid w:val="00B80A8E"/>
    <w:rsid w:val="00B80D06"/>
    <w:rsid w:val="00B8119D"/>
    <w:rsid w:val="00B8122B"/>
    <w:rsid w:val="00B8152B"/>
    <w:rsid w:val="00B81642"/>
    <w:rsid w:val="00B81688"/>
    <w:rsid w:val="00B816C3"/>
    <w:rsid w:val="00B81B67"/>
    <w:rsid w:val="00B81F88"/>
    <w:rsid w:val="00B82054"/>
    <w:rsid w:val="00B822D8"/>
    <w:rsid w:val="00B8245B"/>
    <w:rsid w:val="00B82559"/>
    <w:rsid w:val="00B828F6"/>
    <w:rsid w:val="00B8290F"/>
    <w:rsid w:val="00B82B10"/>
    <w:rsid w:val="00B82DFD"/>
    <w:rsid w:val="00B82F31"/>
    <w:rsid w:val="00B832F0"/>
    <w:rsid w:val="00B836E0"/>
    <w:rsid w:val="00B83921"/>
    <w:rsid w:val="00B83965"/>
    <w:rsid w:val="00B83E67"/>
    <w:rsid w:val="00B840C8"/>
    <w:rsid w:val="00B84428"/>
    <w:rsid w:val="00B8467C"/>
    <w:rsid w:val="00B84687"/>
    <w:rsid w:val="00B84876"/>
    <w:rsid w:val="00B84B96"/>
    <w:rsid w:val="00B84D29"/>
    <w:rsid w:val="00B84F11"/>
    <w:rsid w:val="00B85245"/>
    <w:rsid w:val="00B85335"/>
    <w:rsid w:val="00B8556A"/>
    <w:rsid w:val="00B855B9"/>
    <w:rsid w:val="00B856F9"/>
    <w:rsid w:val="00B860DD"/>
    <w:rsid w:val="00B860F9"/>
    <w:rsid w:val="00B8622F"/>
    <w:rsid w:val="00B863FA"/>
    <w:rsid w:val="00B86567"/>
    <w:rsid w:val="00B8680D"/>
    <w:rsid w:val="00B86E05"/>
    <w:rsid w:val="00B8712A"/>
    <w:rsid w:val="00B878AA"/>
    <w:rsid w:val="00B87AEA"/>
    <w:rsid w:val="00B87D3C"/>
    <w:rsid w:val="00B87F1B"/>
    <w:rsid w:val="00B90142"/>
    <w:rsid w:val="00B9028D"/>
    <w:rsid w:val="00B90738"/>
    <w:rsid w:val="00B907D4"/>
    <w:rsid w:val="00B9081F"/>
    <w:rsid w:val="00B9082A"/>
    <w:rsid w:val="00B9099D"/>
    <w:rsid w:val="00B90DC6"/>
    <w:rsid w:val="00B91004"/>
    <w:rsid w:val="00B91005"/>
    <w:rsid w:val="00B9128C"/>
    <w:rsid w:val="00B9133E"/>
    <w:rsid w:val="00B91435"/>
    <w:rsid w:val="00B9163F"/>
    <w:rsid w:val="00B918D4"/>
    <w:rsid w:val="00B91940"/>
    <w:rsid w:val="00B91AB6"/>
    <w:rsid w:val="00B91B20"/>
    <w:rsid w:val="00B921C3"/>
    <w:rsid w:val="00B92A18"/>
    <w:rsid w:val="00B92A54"/>
    <w:rsid w:val="00B92FE4"/>
    <w:rsid w:val="00B9336F"/>
    <w:rsid w:val="00B9342B"/>
    <w:rsid w:val="00B93726"/>
    <w:rsid w:val="00B93B2A"/>
    <w:rsid w:val="00B93C04"/>
    <w:rsid w:val="00B93C98"/>
    <w:rsid w:val="00B93DF0"/>
    <w:rsid w:val="00B93E84"/>
    <w:rsid w:val="00B93F46"/>
    <w:rsid w:val="00B9471A"/>
    <w:rsid w:val="00B9475A"/>
    <w:rsid w:val="00B94A84"/>
    <w:rsid w:val="00B94C40"/>
    <w:rsid w:val="00B950D9"/>
    <w:rsid w:val="00B9525E"/>
    <w:rsid w:val="00B957CC"/>
    <w:rsid w:val="00B9582B"/>
    <w:rsid w:val="00B9586B"/>
    <w:rsid w:val="00B95D18"/>
    <w:rsid w:val="00B95D37"/>
    <w:rsid w:val="00B9624F"/>
    <w:rsid w:val="00B963DB"/>
    <w:rsid w:val="00B965A1"/>
    <w:rsid w:val="00B96802"/>
    <w:rsid w:val="00B96B0D"/>
    <w:rsid w:val="00B973FD"/>
    <w:rsid w:val="00B97494"/>
    <w:rsid w:val="00B97CA6"/>
    <w:rsid w:val="00BA0129"/>
    <w:rsid w:val="00BA01AA"/>
    <w:rsid w:val="00BA01DC"/>
    <w:rsid w:val="00BA01DF"/>
    <w:rsid w:val="00BA02D5"/>
    <w:rsid w:val="00BA0318"/>
    <w:rsid w:val="00BA0629"/>
    <w:rsid w:val="00BA06C3"/>
    <w:rsid w:val="00BA07D3"/>
    <w:rsid w:val="00BA087E"/>
    <w:rsid w:val="00BA08F2"/>
    <w:rsid w:val="00BA09C1"/>
    <w:rsid w:val="00BA0ABE"/>
    <w:rsid w:val="00BA0BF4"/>
    <w:rsid w:val="00BA0CB5"/>
    <w:rsid w:val="00BA0F26"/>
    <w:rsid w:val="00BA1117"/>
    <w:rsid w:val="00BA1413"/>
    <w:rsid w:val="00BA148F"/>
    <w:rsid w:val="00BA1874"/>
    <w:rsid w:val="00BA1A8D"/>
    <w:rsid w:val="00BA2118"/>
    <w:rsid w:val="00BA2185"/>
    <w:rsid w:val="00BA21E5"/>
    <w:rsid w:val="00BA225C"/>
    <w:rsid w:val="00BA250B"/>
    <w:rsid w:val="00BA2575"/>
    <w:rsid w:val="00BA264B"/>
    <w:rsid w:val="00BA2972"/>
    <w:rsid w:val="00BA2B4C"/>
    <w:rsid w:val="00BA2DE0"/>
    <w:rsid w:val="00BA2FD9"/>
    <w:rsid w:val="00BA301B"/>
    <w:rsid w:val="00BA319C"/>
    <w:rsid w:val="00BA394C"/>
    <w:rsid w:val="00BA3BFE"/>
    <w:rsid w:val="00BA3C81"/>
    <w:rsid w:val="00BA4087"/>
    <w:rsid w:val="00BA40C0"/>
    <w:rsid w:val="00BA418D"/>
    <w:rsid w:val="00BA41F5"/>
    <w:rsid w:val="00BA4C08"/>
    <w:rsid w:val="00BA4CCD"/>
    <w:rsid w:val="00BA4E4A"/>
    <w:rsid w:val="00BA4F5A"/>
    <w:rsid w:val="00BA4FFC"/>
    <w:rsid w:val="00BA51CA"/>
    <w:rsid w:val="00BA53A8"/>
    <w:rsid w:val="00BA5413"/>
    <w:rsid w:val="00BA5CD1"/>
    <w:rsid w:val="00BA5D83"/>
    <w:rsid w:val="00BA617A"/>
    <w:rsid w:val="00BA62BB"/>
    <w:rsid w:val="00BA62BE"/>
    <w:rsid w:val="00BA64EB"/>
    <w:rsid w:val="00BA65D3"/>
    <w:rsid w:val="00BA698A"/>
    <w:rsid w:val="00BA6FE9"/>
    <w:rsid w:val="00BA705D"/>
    <w:rsid w:val="00BA7088"/>
    <w:rsid w:val="00BA70C4"/>
    <w:rsid w:val="00BA722F"/>
    <w:rsid w:val="00BA72EA"/>
    <w:rsid w:val="00BA7B2C"/>
    <w:rsid w:val="00BA7D91"/>
    <w:rsid w:val="00BA7F2F"/>
    <w:rsid w:val="00BB0009"/>
    <w:rsid w:val="00BB01E0"/>
    <w:rsid w:val="00BB01FA"/>
    <w:rsid w:val="00BB0307"/>
    <w:rsid w:val="00BB0431"/>
    <w:rsid w:val="00BB0719"/>
    <w:rsid w:val="00BB07E3"/>
    <w:rsid w:val="00BB1028"/>
    <w:rsid w:val="00BB188B"/>
    <w:rsid w:val="00BB1E52"/>
    <w:rsid w:val="00BB1E6C"/>
    <w:rsid w:val="00BB229D"/>
    <w:rsid w:val="00BB253D"/>
    <w:rsid w:val="00BB25DA"/>
    <w:rsid w:val="00BB27A5"/>
    <w:rsid w:val="00BB2844"/>
    <w:rsid w:val="00BB2859"/>
    <w:rsid w:val="00BB2E5D"/>
    <w:rsid w:val="00BB2E7B"/>
    <w:rsid w:val="00BB2FBE"/>
    <w:rsid w:val="00BB3321"/>
    <w:rsid w:val="00BB335B"/>
    <w:rsid w:val="00BB3424"/>
    <w:rsid w:val="00BB37A8"/>
    <w:rsid w:val="00BB38AF"/>
    <w:rsid w:val="00BB3A44"/>
    <w:rsid w:val="00BB3C5B"/>
    <w:rsid w:val="00BB3C6D"/>
    <w:rsid w:val="00BB422F"/>
    <w:rsid w:val="00BB4239"/>
    <w:rsid w:val="00BB44C9"/>
    <w:rsid w:val="00BB473C"/>
    <w:rsid w:val="00BB4781"/>
    <w:rsid w:val="00BB49CE"/>
    <w:rsid w:val="00BB4C4E"/>
    <w:rsid w:val="00BB4DDC"/>
    <w:rsid w:val="00BB4E74"/>
    <w:rsid w:val="00BB50A1"/>
    <w:rsid w:val="00BB563B"/>
    <w:rsid w:val="00BB5735"/>
    <w:rsid w:val="00BB57EF"/>
    <w:rsid w:val="00BB57F0"/>
    <w:rsid w:val="00BB58C5"/>
    <w:rsid w:val="00BB5DE0"/>
    <w:rsid w:val="00BB5F32"/>
    <w:rsid w:val="00BB5F73"/>
    <w:rsid w:val="00BB608A"/>
    <w:rsid w:val="00BB60AC"/>
    <w:rsid w:val="00BB6303"/>
    <w:rsid w:val="00BB642B"/>
    <w:rsid w:val="00BB64DF"/>
    <w:rsid w:val="00BB6691"/>
    <w:rsid w:val="00BB6804"/>
    <w:rsid w:val="00BB695F"/>
    <w:rsid w:val="00BB6AE3"/>
    <w:rsid w:val="00BB6BC3"/>
    <w:rsid w:val="00BB6DE3"/>
    <w:rsid w:val="00BB6EA7"/>
    <w:rsid w:val="00BB6F7B"/>
    <w:rsid w:val="00BB71D4"/>
    <w:rsid w:val="00BB72B8"/>
    <w:rsid w:val="00BB75CC"/>
    <w:rsid w:val="00BB77A5"/>
    <w:rsid w:val="00BB7901"/>
    <w:rsid w:val="00BB7BD3"/>
    <w:rsid w:val="00BB7C07"/>
    <w:rsid w:val="00BB7CE3"/>
    <w:rsid w:val="00BB7DDF"/>
    <w:rsid w:val="00BC001D"/>
    <w:rsid w:val="00BC0039"/>
    <w:rsid w:val="00BC0124"/>
    <w:rsid w:val="00BC01ED"/>
    <w:rsid w:val="00BC02A9"/>
    <w:rsid w:val="00BC05BB"/>
    <w:rsid w:val="00BC0633"/>
    <w:rsid w:val="00BC07E4"/>
    <w:rsid w:val="00BC081C"/>
    <w:rsid w:val="00BC0C08"/>
    <w:rsid w:val="00BC171F"/>
    <w:rsid w:val="00BC2036"/>
    <w:rsid w:val="00BC21D6"/>
    <w:rsid w:val="00BC220D"/>
    <w:rsid w:val="00BC265D"/>
    <w:rsid w:val="00BC2C0C"/>
    <w:rsid w:val="00BC2DBD"/>
    <w:rsid w:val="00BC3082"/>
    <w:rsid w:val="00BC309E"/>
    <w:rsid w:val="00BC32C4"/>
    <w:rsid w:val="00BC3363"/>
    <w:rsid w:val="00BC41B0"/>
    <w:rsid w:val="00BC47B8"/>
    <w:rsid w:val="00BC4ADA"/>
    <w:rsid w:val="00BC4CF4"/>
    <w:rsid w:val="00BC534D"/>
    <w:rsid w:val="00BC535D"/>
    <w:rsid w:val="00BC557A"/>
    <w:rsid w:val="00BC563A"/>
    <w:rsid w:val="00BC573A"/>
    <w:rsid w:val="00BC5812"/>
    <w:rsid w:val="00BC5925"/>
    <w:rsid w:val="00BC5943"/>
    <w:rsid w:val="00BC5C07"/>
    <w:rsid w:val="00BC5EB3"/>
    <w:rsid w:val="00BC61AB"/>
    <w:rsid w:val="00BC6206"/>
    <w:rsid w:val="00BC63FD"/>
    <w:rsid w:val="00BC64FD"/>
    <w:rsid w:val="00BC6737"/>
    <w:rsid w:val="00BC682D"/>
    <w:rsid w:val="00BC693B"/>
    <w:rsid w:val="00BC6A43"/>
    <w:rsid w:val="00BC6F4A"/>
    <w:rsid w:val="00BC7623"/>
    <w:rsid w:val="00BC76D7"/>
    <w:rsid w:val="00BC7AAF"/>
    <w:rsid w:val="00BC7F3B"/>
    <w:rsid w:val="00BD017D"/>
    <w:rsid w:val="00BD03E5"/>
    <w:rsid w:val="00BD1151"/>
    <w:rsid w:val="00BD11E9"/>
    <w:rsid w:val="00BD1666"/>
    <w:rsid w:val="00BD1668"/>
    <w:rsid w:val="00BD1700"/>
    <w:rsid w:val="00BD1820"/>
    <w:rsid w:val="00BD1868"/>
    <w:rsid w:val="00BD1BFA"/>
    <w:rsid w:val="00BD1F12"/>
    <w:rsid w:val="00BD205D"/>
    <w:rsid w:val="00BD2672"/>
    <w:rsid w:val="00BD287F"/>
    <w:rsid w:val="00BD2AF7"/>
    <w:rsid w:val="00BD2C06"/>
    <w:rsid w:val="00BD2C48"/>
    <w:rsid w:val="00BD33F8"/>
    <w:rsid w:val="00BD3659"/>
    <w:rsid w:val="00BD36A5"/>
    <w:rsid w:val="00BD3D5F"/>
    <w:rsid w:val="00BD3EF2"/>
    <w:rsid w:val="00BD4146"/>
    <w:rsid w:val="00BD4179"/>
    <w:rsid w:val="00BD4AD9"/>
    <w:rsid w:val="00BD4B1B"/>
    <w:rsid w:val="00BD4DCB"/>
    <w:rsid w:val="00BD5573"/>
    <w:rsid w:val="00BD5796"/>
    <w:rsid w:val="00BD593E"/>
    <w:rsid w:val="00BD5AD9"/>
    <w:rsid w:val="00BD5BDD"/>
    <w:rsid w:val="00BD6278"/>
    <w:rsid w:val="00BD657D"/>
    <w:rsid w:val="00BD6751"/>
    <w:rsid w:val="00BD6C72"/>
    <w:rsid w:val="00BD6F90"/>
    <w:rsid w:val="00BD70AB"/>
    <w:rsid w:val="00BD7146"/>
    <w:rsid w:val="00BD71B4"/>
    <w:rsid w:val="00BD72D5"/>
    <w:rsid w:val="00BD750A"/>
    <w:rsid w:val="00BD7B01"/>
    <w:rsid w:val="00BD7B1C"/>
    <w:rsid w:val="00BD7BAD"/>
    <w:rsid w:val="00BE04F7"/>
    <w:rsid w:val="00BE0542"/>
    <w:rsid w:val="00BE088E"/>
    <w:rsid w:val="00BE096B"/>
    <w:rsid w:val="00BE0A97"/>
    <w:rsid w:val="00BE0C17"/>
    <w:rsid w:val="00BE12F1"/>
    <w:rsid w:val="00BE136F"/>
    <w:rsid w:val="00BE1496"/>
    <w:rsid w:val="00BE166E"/>
    <w:rsid w:val="00BE16E1"/>
    <w:rsid w:val="00BE1887"/>
    <w:rsid w:val="00BE1935"/>
    <w:rsid w:val="00BE1D1E"/>
    <w:rsid w:val="00BE1F52"/>
    <w:rsid w:val="00BE209D"/>
    <w:rsid w:val="00BE2255"/>
    <w:rsid w:val="00BE2290"/>
    <w:rsid w:val="00BE22B9"/>
    <w:rsid w:val="00BE2431"/>
    <w:rsid w:val="00BE25BB"/>
    <w:rsid w:val="00BE2875"/>
    <w:rsid w:val="00BE289A"/>
    <w:rsid w:val="00BE2E6D"/>
    <w:rsid w:val="00BE2F4D"/>
    <w:rsid w:val="00BE30EC"/>
    <w:rsid w:val="00BE32F0"/>
    <w:rsid w:val="00BE36A8"/>
    <w:rsid w:val="00BE3769"/>
    <w:rsid w:val="00BE3BB9"/>
    <w:rsid w:val="00BE3CC5"/>
    <w:rsid w:val="00BE3DAD"/>
    <w:rsid w:val="00BE405D"/>
    <w:rsid w:val="00BE409D"/>
    <w:rsid w:val="00BE4109"/>
    <w:rsid w:val="00BE4589"/>
    <w:rsid w:val="00BE462D"/>
    <w:rsid w:val="00BE4881"/>
    <w:rsid w:val="00BE4B71"/>
    <w:rsid w:val="00BE4F1D"/>
    <w:rsid w:val="00BE4F7A"/>
    <w:rsid w:val="00BE4FB3"/>
    <w:rsid w:val="00BE516F"/>
    <w:rsid w:val="00BE5258"/>
    <w:rsid w:val="00BE534A"/>
    <w:rsid w:val="00BE554B"/>
    <w:rsid w:val="00BE56ED"/>
    <w:rsid w:val="00BE585F"/>
    <w:rsid w:val="00BE5B16"/>
    <w:rsid w:val="00BE5B90"/>
    <w:rsid w:val="00BE5BAD"/>
    <w:rsid w:val="00BE5BED"/>
    <w:rsid w:val="00BE5FDB"/>
    <w:rsid w:val="00BE6166"/>
    <w:rsid w:val="00BE6673"/>
    <w:rsid w:val="00BE6A5D"/>
    <w:rsid w:val="00BE6B3F"/>
    <w:rsid w:val="00BE6BED"/>
    <w:rsid w:val="00BE72E8"/>
    <w:rsid w:val="00BE7313"/>
    <w:rsid w:val="00BE77E6"/>
    <w:rsid w:val="00BE7A2A"/>
    <w:rsid w:val="00BE7ED9"/>
    <w:rsid w:val="00BEDA28"/>
    <w:rsid w:val="00BF00CA"/>
    <w:rsid w:val="00BF0174"/>
    <w:rsid w:val="00BF036F"/>
    <w:rsid w:val="00BF05E8"/>
    <w:rsid w:val="00BF062D"/>
    <w:rsid w:val="00BF068D"/>
    <w:rsid w:val="00BF0A6B"/>
    <w:rsid w:val="00BF0F76"/>
    <w:rsid w:val="00BF1156"/>
    <w:rsid w:val="00BF1294"/>
    <w:rsid w:val="00BF13BB"/>
    <w:rsid w:val="00BF141C"/>
    <w:rsid w:val="00BF14AE"/>
    <w:rsid w:val="00BF1688"/>
    <w:rsid w:val="00BF16DD"/>
    <w:rsid w:val="00BF1967"/>
    <w:rsid w:val="00BF198A"/>
    <w:rsid w:val="00BF1B26"/>
    <w:rsid w:val="00BF1B8A"/>
    <w:rsid w:val="00BF1FBB"/>
    <w:rsid w:val="00BF2080"/>
    <w:rsid w:val="00BF2C43"/>
    <w:rsid w:val="00BF2D7B"/>
    <w:rsid w:val="00BF3162"/>
    <w:rsid w:val="00BF3448"/>
    <w:rsid w:val="00BF34DC"/>
    <w:rsid w:val="00BF35EC"/>
    <w:rsid w:val="00BF4087"/>
    <w:rsid w:val="00BF43F8"/>
    <w:rsid w:val="00BF445F"/>
    <w:rsid w:val="00BF47D4"/>
    <w:rsid w:val="00BF4912"/>
    <w:rsid w:val="00BF4A2B"/>
    <w:rsid w:val="00BF4AAF"/>
    <w:rsid w:val="00BF5671"/>
    <w:rsid w:val="00BF5900"/>
    <w:rsid w:val="00BF592D"/>
    <w:rsid w:val="00BF5B4C"/>
    <w:rsid w:val="00BF5ED1"/>
    <w:rsid w:val="00BF62BD"/>
    <w:rsid w:val="00BF68E3"/>
    <w:rsid w:val="00BF6B65"/>
    <w:rsid w:val="00BF6C25"/>
    <w:rsid w:val="00BF6E82"/>
    <w:rsid w:val="00BF7208"/>
    <w:rsid w:val="00BF7418"/>
    <w:rsid w:val="00BF75BD"/>
    <w:rsid w:val="00BF7E6D"/>
    <w:rsid w:val="00C00391"/>
    <w:rsid w:val="00C005E8"/>
    <w:rsid w:val="00C006A1"/>
    <w:rsid w:val="00C00AA8"/>
    <w:rsid w:val="00C00BF0"/>
    <w:rsid w:val="00C00F75"/>
    <w:rsid w:val="00C01058"/>
    <w:rsid w:val="00C01096"/>
    <w:rsid w:val="00C0140C"/>
    <w:rsid w:val="00C01507"/>
    <w:rsid w:val="00C0192C"/>
    <w:rsid w:val="00C01950"/>
    <w:rsid w:val="00C01A03"/>
    <w:rsid w:val="00C01AEF"/>
    <w:rsid w:val="00C01B8C"/>
    <w:rsid w:val="00C01D84"/>
    <w:rsid w:val="00C01FAB"/>
    <w:rsid w:val="00C02392"/>
    <w:rsid w:val="00C02B6A"/>
    <w:rsid w:val="00C02BF2"/>
    <w:rsid w:val="00C02D57"/>
    <w:rsid w:val="00C03579"/>
    <w:rsid w:val="00C03776"/>
    <w:rsid w:val="00C03A3D"/>
    <w:rsid w:val="00C03A8C"/>
    <w:rsid w:val="00C03C14"/>
    <w:rsid w:val="00C03C41"/>
    <w:rsid w:val="00C03C7C"/>
    <w:rsid w:val="00C04043"/>
    <w:rsid w:val="00C04057"/>
    <w:rsid w:val="00C0483D"/>
    <w:rsid w:val="00C04CC3"/>
    <w:rsid w:val="00C04CDB"/>
    <w:rsid w:val="00C04D75"/>
    <w:rsid w:val="00C04D8A"/>
    <w:rsid w:val="00C04E34"/>
    <w:rsid w:val="00C055EB"/>
    <w:rsid w:val="00C056FF"/>
    <w:rsid w:val="00C05F88"/>
    <w:rsid w:val="00C06DAE"/>
    <w:rsid w:val="00C06E0D"/>
    <w:rsid w:val="00C07156"/>
    <w:rsid w:val="00C0775E"/>
    <w:rsid w:val="00C0776B"/>
    <w:rsid w:val="00C0776D"/>
    <w:rsid w:val="00C077CE"/>
    <w:rsid w:val="00C07887"/>
    <w:rsid w:val="00C079EE"/>
    <w:rsid w:val="00C07AE7"/>
    <w:rsid w:val="00C07C0A"/>
    <w:rsid w:val="00C07ECF"/>
    <w:rsid w:val="00C107FF"/>
    <w:rsid w:val="00C109E6"/>
    <w:rsid w:val="00C112CC"/>
    <w:rsid w:val="00C116C1"/>
    <w:rsid w:val="00C116EE"/>
    <w:rsid w:val="00C117D6"/>
    <w:rsid w:val="00C1192E"/>
    <w:rsid w:val="00C11BA6"/>
    <w:rsid w:val="00C11D16"/>
    <w:rsid w:val="00C11D3A"/>
    <w:rsid w:val="00C11E84"/>
    <w:rsid w:val="00C11F07"/>
    <w:rsid w:val="00C121A4"/>
    <w:rsid w:val="00C124B3"/>
    <w:rsid w:val="00C1275A"/>
    <w:rsid w:val="00C127D9"/>
    <w:rsid w:val="00C12AE8"/>
    <w:rsid w:val="00C12B1A"/>
    <w:rsid w:val="00C12D2B"/>
    <w:rsid w:val="00C12D62"/>
    <w:rsid w:val="00C130B2"/>
    <w:rsid w:val="00C13366"/>
    <w:rsid w:val="00C13376"/>
    <w:rsid w:val="00C1352E"/>
    <w:rsid w:val="00C13620"/>
    <w:rsid w:val="00C136E2"/>
    <w:rsid w:val="00C1383A"/>
    <w:rsid w:val="00C138DD"/>
    <w:rsid w:val="00C138E0"/>
    <w:rsid w:val="00C13962"/>
    <w:rsid w:val="00C13A3C"/>
    <w:rsid w:val="00C13ACA"/>
    <w:rsid w:val="00C149D5"/>
    <w:rsid w:val="00C14A77"/>
    <w:rsid w:val="00C14BAB"/>
    <w:rsid w:val="00C14DFD"/>
    <w:rsid w:val="00C14E38"/>
    <w:rsid w:val="00C14F45"/>
    <w:rsid w:val="00C1504A"/>
    <w:rsid w:val="00C15233"/>
    <w:rsid w:val="00C15423"/>
    <w:rsid w:val="00C15538"/>
    <w:rsid w:val="00C1569D"/>
    <w:rsid w:val="00C1585E"/>
    <w:rsid w:val="00C15911"/>
    <w:rsid w:val="00C1592A"/>
    <w:rsid w:val="00C16271"/>
    <w:rsid w:val="00C16447"/>
    <w:rsid w:val="00C1653C"/>
    <w:rsid w:val="00C168EF"/>
    <w:rsid w:val="00C169D9"/>
    <w:rsid w:val="00C16C06"/>
    <w:rsid w:val="00C16EC7"/>
    <w:rsid w:val="00C17023"/>
    <w:rsid w:val="00C173A8"/>
    <w:rsid w:val="00C174D5"/>
    <w:rsid w:val="00C17539"/>
    <w:rsid w:val="00C17714"/>
    <w:rsid w:val="00C179CA"/>
    <w:rsid w:val="00C17B64"/>
    <w:rsid w:val="00C17C2B"/>
    <w:rsid w:val="00C17C9F"/>
    <w:rsid w:val="00C17F79"/>
    <w:rsid w:val="00C20169"/>
    <w:rsid w:val="00C202EB"/>
    <w:rsid w:val="00C20429"/>
    <w:rsid w:val="00C207E5"/>
    <w:rsid w:val="00C208C4"/>
    <w:rsid w:val="00C20962"/>
    <w:rsid w:val="00C209E4"/>
    <w:rsid w:val="00C20CC8"/>
    <w:rsid w:val="00C20E4B"/>
    <w:rsid w:val="00C21045"/>
    <w:rsid w:val="00C2111B"/>
    <w:rsid w:val="00C21389"/>
    <w:rsid w:val="00C21428"/>
    <w:rsid w:val="00C214C9"/>
    <w:rsid w:val="00C21543"/>
    <w:rsid w:val="00C217E6"/>
    <w:rsid w:val="00C21F9B"/>
    <w:rsid w:val="00C220FA"/>
    <w:rsid w:val="00C22111"/>
    <w:rsid w:val="00C22175"/>
    <w:rsid w:val="00C22431"/>
    <w:rsid w:val="00C226F9"/>
    <w:rsid w:val="00C22740"/>
    <w:rsid w:val="00C2275C"/>
    <w:rsid w:val="00C227C3"/>
    <w:rsid w:val="00C22A8F"/>
    <w:rsid w:val="00C22F5E"/>
    <w:rsid w:val="00C2318B"/>
    <w:rsid w:val="00C231F8"/>
    <w:rsid w:val="00C23585"/>
    <w:rsid w:val="00C239BC"/>
    <w:rsid w:val="00C23B69"/>
    <w:rsid w:val="00C23EAC"/>
    <w:rsid w:val="00C23F69"/>
    <w:rsid w:val="00C2418B"/>
    <w:rsid w:val="00C2458D"/>
    <w:rsid w:val="00C246EA"/>
    <w:rsid w:val="00C2515A"/>
    <w:rsid w:val="00C25452"/>
    <w:rsid w:val="00C255DB"/>
    <w:rsid w:val="00C256D8"/>
    <w:rsid w:val="00C25D46"/>
    <w:rsid w:val="00C25DBA"/>
    <w:rsid w:val="00C2614F"/>
    <w:rsid w:val="00C262B2"/>
    <w:rsid w:val="00C262DE"/>
    <w:rsid w:val="00C26378"/>
    <w:rsid w:val="00C264D0"/>
    <w:rsid w:val="00C2652F"/>
    <w:rsid w:val="00C268D9"/>
    <w:rsid w:val="00C26919"/>
    <w:rsid w:val="00C2694A"/>
    <w:rsid w:val="00C269E8"/>
    <w:rsid w:val="00C26A98"/>
    <w:rsid w:val="00C26B78"/>
    <w:rsid w:val="00C26E0B"/>
    <w:rsid w:val="00C26F2D"/>
    <w:rsid w:val="00C27155"/>
    <w:rsid w:val="00C2727C"/>
    <w:rsid w:val="00C27493"/>
    <w:rsid w:val="00C27652"/>
    <w:rsid w:val="00C276D9"/>
    <w:rsid w:val="00C27C62"/>
    <w:rsid w:val="00C27C6C"/>
    <w:rsid w:val="00C27C83"/>
    <w:rsid w:val="00C30684"/>
    <w:rsid w:val="00C30F0C"/>
    <w:rsid w:val="00C30F5C"/>
    <w:rsid w:val="00C315FF"/>
    <w:rsid w:val="00C318A9"/>
    <w:rsid w:val="00C31C80"/>
    <w:rsid w:val="00C31FA3"/>
    <w:rsid w:val="00C322E6"/>
    <w:rsid w:val="00C3254D"/>
    <w:rsid w:val="00C32856"/>
    <w:rsid w:val="00C3312B"/>
    <w:rsid w:val="00C333E6"/>
    <w:rsid w:val="00C33521"/>
    <w:rsid w:val="00C335D5"/>
    <w:rsid w:val="00C337D2"/>
    <w:rsid w:val="00C3394F"/>
    <w:rsid w:val="00C339E6"/>
    <w:rsid w:val="00C33CE7"/>
    <w:rsid w:val="00C33D6C"/>
    <w:rsid w:val="00C33FAA"/>
    <w:rsid w:val="00C33FC5"/>
    <w:rsid w:val="00C33FD9"/>
    <w:rsid w:val="00C340FC"/>
    <w:rsid w:val="00C342F7"/>
    <w:rsid w:val="00C3452B"/>
    <w:rsid w:val="00C34731"/>
    <w:rsid w:val="00C34D06"/>
    <w:rsid w:val="00C3525B"/>
    <w:rsid w:val="00C352EA"/>
    <w:rsid w:val="00C35317"/>
    <w:rsid w:val="00C354E6"/>
    <w:rsid w:val="00C355A7"/>
    <w:rsid w:val="00C35628"/>
    <w:rsid w:val="00C357F6"/>
    <w:rsid w:val="00C35ADB"/>
    <w:rsid w:val="00C35C37"/>
    <w:rsid w:val="00C361A6"/>
    <w:rsid w:val="00C361D2"/>
    <w:rsid w:val="00C36349"/>
    <w:rsid w:val="00C364A7"/>
    <w:rsid w:val="00C365BB"/>
    <w:rsid w:val="00C36703"/>
    <w:rsid w:val="00C36757"/>
    <w:rsid w:val="00C3689F"/>
    <w:rsid w:val="00C36A4E"/>
    <w:rsid w:val="00C36A7A"/>
    <w:rsid w:val="00C36B05"/>
    <w:rsid w:val="00C36BBB"/>
    <w:rsid w:val="00C36E23"/>
    <w:rsid w:val="00C36E3B"/>
    <w:rsid w:val="00C36F71"/>
    <w:rsid w:val="00C3707E"/>
    <w:rsid w:val="00C3717E"/>
    <w:rsid w:val="00C3742A"/>
    <w:rsid w:val="00C37C9C"/>
    <w:rsid w:val="00C400EF"/>
    <w:rsid w:val="00C402D7"/>
    <w:rsid w:val="00C40361"/>
    <w:rsid w:val="00C40620"/>
    <w:rsid w:val="00C40897"/>
    <w:rsid w:val="00C409F9"/>
    <w:rsid w:val="00C40A7C"/>
    <w:rsid w:val="00C40CE9"/>
    <w:rsid w:val="00C41692"/>
    <w:rsid w:val="00C4170D"/>
    <w:rsid w:val="00C41D59"/>
    <w:rsid w:val="00C41ED1"/>
    <w:rsid w:val="00C42012"/>
    <w:rsid w:val="00C42089"/>
    <w:rsid w:val="00C42108"/>
    <w:rsid w:val="00C421A3"/>
    <w:rsid w:val="00C4276A"/>
    <w:rsid w:val="00C42A04"/>
    <w:rsid w:val="00C42C8F"/>
    <w:rsid w:val="00C431AF"/>
    <w:rsid w:val="00C43327"/>
    <w:rsid w:val="00C43414"/>
    <w:rsid w:val="00C438BE"/>
    <w:rsid w:val="00C43947"/>
    <w:rsid w:val="00C439AD"/>
    <w:rsid w:val="00C43AA5"/>
    <w:rsid w:val="00C43D9F"/>
    <w:rsid w:val="00C440AE"/>
    <w:rsid w:val="00C44349"/>
    <w:rsid w:val="00C44427"/>
    <w:rsid w:val="00C4458C"/>
    <w:rsid w:val="00C4486C"/>
    <w:rsid w:val="00C448A6"/>
    <w:rsid w:val="00C449F3"/>
    <w:rsid w:val="00C44D24"/>
    <w:rsid w:val="00C44F1F"/>
    <w:rsid w:val="00C44F6A"/>
    <w:rsid w:val="00C45057"/>
    <w:rsid w:val="00C4546B"/>
    <w:rsid w:val="00C455FA"/>
    <w:rsid w:val="00C45621"/>
    <w:rsid w:val="00C45649"/>
    <w:rsid w:val="00C45A23"/>
    <w:rsid w:val="00C45AE3"/>
    <w:rsid w:val="00C46106"/>
    <w:rsid w:val="00C463C2"/>
    <w:rsid w:val="00C46444"/>
    <w:rsid w:val="00C46453"/>
    <w:rsid w:val="00C466CB"/>
    <w:rsid w:val="00C4670A"/>
    <w:rsid w:val="00C46C99"/>
    <w:rsid w:val="00C46D28"/>
    <w:rsid w:val="00C46E02"/>
    <w:rsid w:val="00C47014"/>
    <w:rsid w:val="00C47B31"/>
    <w:rsid w:val="00C47FB5"/>
    <w:rsid w:val="00C5009E"/>
    <w:rsid w:val="00C5044B"/>
    <w:rsid w:val="00C504A4"/>
    <w:rsid w:val="00C5070D"/>
    <w:rsid w:val="00C509DC"/>
    <w:rsid w:val="00C50A36"/>
    <w:rsid w:val="00C50BD6"/>
    <w:rsid w:val="00C50D6A"/>
    <w:rsid w:val="00C50EC3"/>
    <w:rsid w:val="00C50F16"/>
    <w:rsid w:val="00C50FEF"/>
    <w:rsid w:val="00C513C2"/>
    <w:rsid w:val="00C5150D"/>
    <w:rsid w:val="00C517A8"/>
    <w:rsid w:val="00C51801"/>
    <w:rsid w:val="00C5198B"/>
    <w:rsid w:val="00C51AE6"/>
    <w:rsid w:val="00C51CA1"/>
    <w:rsid w:val="00C51F98"/>
    <w:rsid w:val="00C5202A"/>
    <w:rsid w:val="00C52041"/>
    <w:rsid w:val="00C521CF"/>
    <w:rsid w:val="00C52B90"/>
    <w:rsid w:val="00C52B99"/>
    <w:rsid w:val="00C531F7"/>
    <w:rsid w:val="00C534E0"/>
    <w:rsid w:val="00C536F2"/>
    <w:rsid w:val="00C53A03"/>
    <w:rsid w:val="00C53ABF"/>
    <w:rsid w:val="00C53AD9"/>
    <w:rsid w:val="00C53BA9"/>
    <w:rsid w:val="00C53FFF"/>
    <w:rsid w:val="00C54231"/>
    <w:rsid w:val="00C54271"/>
    <w:rsid w:val="00C542B1"/>
    <w:rsid w:val="00C542C2"/>
    <w:rsid w:val="00C5466C"/>
    <w:rsid w:val="00C54686"/>
    <w:rsid w:val="00C5499C"/>
    <w:rsid w:val="00C54B47"/>
    <w:rsid w:val="00C54C47"/>
    <w:rsid w:val="00C54F58"/>
    <w:rsid w:val="00C551AD"/>
    <w:rsid w:val="00C5546C"/>
    <w:rsid w:val="00C554C4"/>
    <w:rsid w:val="00C555F7"/>
    <w:rsid w:val="00C55688"/>
    <w:rsid w:val="00C55BF0"/>
    <w:rsid w:val="00C5642D"/>
    <w:rsid w:val="00C56611"/>
    <w:rsid w:val="00C5695A"/>
    <w:rsid w:val="00C56B23"/>
    <w:rsid w:val="00C56D0D"/>
    <w:rsid w:val="00C56D96"/>
    <w:rsid w:val="00C56E2C"/>
    <w:rsid w:val="00C56F4A"/>
    <w:rsid w:val="00C573F4"/>
    <w:rsid w:val="00C57A58"/>
    <w:rsid w:val="00C57A94"/>
    <w:rsid w:val="00C57AF3"/>
    <w:rsid w:val="00C60215"/>
    <w:rsid w:val="00C6047D"/>
    <w:rsid w:val="00C60525"/>
    <w:rsid w:val="00C6072F"/>
    <w:rsid w:val="00C60EC5"/>
    <w:rsid w:val="00C610C5"/>
    <w:rsid w:val="00C612F4"/>
    <w:rsid w:val="00C615E8"/>
    <w:rsid w:val="00C61899"/>
    <w:rsid w:val="00C61980"/>
    <w:rsid w:val="00C61BD3"/>
    <w:rsid w:val="00C621B6"/>
    <w:rsid w:val="00C62503"/>
    <w:rsid w:val="00C6254B"/>
    <w:rsid w:val="00C6279E"/>
    <w:rsid w:val="00C628F7"/>
    <w:rsid w:val="00C62979"/>
    <w:rsid w:val="00C62A41"/>
    <w:rsid w:val="00C62AE8"/>
    <w:rsid w:val="00C62B4A"/>
    <w:rsid w:val="00C62B85"/>
    <w:rsid w:val="00C62BBD"/>
    <w:rsid w:val="00C62C30"/>
    <w:rsid w:val="00C62CD3"/>
    <w:rsid w:val="00C63490"/>
    <w:rsid w:val="00C63614"/>
    <w:rsid w:val="00C641D4"/>
    <w:rsid w:val="00C64898"/>
    <w:rsid w:val="00C649EB"/>
    <w:rsid w:val="00C64A5D"/>
    <w:rsid w:val="00C64ACC"/>
    <w:rsid w:val="00C64C2B"/>
    <w:rsid w:val="00C64D34"/>
    <w:rsid w:val="00C65113"/>
    <w:rsid w:val="00C657A2"/>
    <w:rsid w:val="00C65A21"/>
    <w:rsid w:val="00C660C3"/>
    <w:rsid w:val="00C66300"/>
    <w:rsid w:val="00C66405"/>
    <w:rsid w:val="00C668AE"/>
    <w:rsid w:val="00C668E4"/>
    <w:rsid w:val="00C669CA"/>
    <w:rsid w:val="00C66BA2"/>
    <w:rsid w:val="00C66BD9"/>
    <w:rsid w:val="00C66DDF"/>
    <w:rsid w:val="00C67502"/>
    <w:rsid w:val="00C67DBB"/>
    <w:rsid w:val="00C7014D"/>
    <w:rsid w:val="00C708B1"/>
    <w:rsid w:val="00C70BC7"/>
    <w:rsid w:val="00C70E7D"/>
    <w:rsid w:val="00C70F97"/>
    <w:rsid w:val="00C711B9"/>
    <w:rsid w:val="00C713E7"/>
    <w:rsid w:val="00C7149D"/>
    <w:rsid w:val="00C714F1"/>
    <w:rsid w:val="00C7156E"/>
    <w:rsid w:val="00C71930"/>
    <w:rsid w:val="00C719B9"/>
    <w:rsid w:val="00C719DF"/>
    <w:rsid w:val="00C71BB4"/>
    <w:rsid w:val="00C71F92"/>
    <w:rsid w:val="00C722D2"/>
    <w:rsid w:val="00C7236E"/>
    <w:rsid w:val="00C723B0"/>
    <w:rsid w:val="00C72506"/>
    <w:rsid w:val="00C72C24"/>
    <w:rsid w:val="00C72C84"/>
    <w:rsid w:val="00C73540"/>
    <w:rsid w:val="00C73B8E"/>
    <w:rsid w:val="00C73BCF"/>
    <w:rsid w:val="00C73D6C"/>
    <w:rsid w:val="00C73FD3"/>
    <w:rsid w:val="00C74057"/>
    <w:rsid w:val="00C7455F"/>
    <w:rsid w:val="00C74835"/>
    <w:rsid w:val="00C74958"/>
    <w:rsid w:val="00C74C57"/>
    <w:rsid w:val="00C74C59"/>
    <w:rsid w:val="00C74D29"/>
    <w:rsid w:val="00C74F08"/>
    <w:rsid w:val="00C75384"/>
    <w:rsid w:val="00C75390"/>
    <w:rsid w:val="00C75586"/>
    <w:rsid w:val="00C7572F"/>
    <w:rsid w:val="00C75782"/>
    <w:rsid w:val="00C75BC9"/>
    <w:rsid w:val="00C75F71"/>
    <w:rsid w:val="00C76108"/>
    <w:rsid w:val="00C7611E"/>
    <w:rsid w:val="00C76234"/>
    <w:rsid w:val="00C76335"/>
    <w:rsid w:val="00C76434"/>
    <w:rsid w:val="00C76478"/>
    <w:rsid w:val="00C77143"/>
    <w:rsid w:val="00C7715F"/>
    <w:rsid w:val="00C77225"/>
    <w:rsid w:val="00C77309"/>
    <w:rsid w:val="00C77627"/>
    <w:rsid w:val="00C778B4"/>
    <w:rsid w:val="00C77C69"/>
    <w:rsid w:val="00C77FDE"/>
    <w:rsid w:val="00C800B6"/>
    <w:rsid w:val="00C8013E"/>
    <w:rsid w:val="00C80302"/>
    <w:rsid w:val="00C807EC"/>
    <w:rsid w:val="00C80A3C"/>
    <w:rsid w:val="00C80A4B"/>
    <w:rsid w:val="00C80B7F"/>
    <w:rsid w:val="00C80E6F"/>
    <w:rsid w:val="00C810C8"/>
    <w:rsid w:val="00C81332"/>
    <w:rsid w:val="00C8193A"/>
    <w:rsid w:val="00C81A47"/>
    <w:rsid w:val="00C81AC7"/>
    <w:rsid w:val="00C81AD4"/>
    <w:rsid w:val="00C81B01"/>
    <w:rsid w:val="00C81B0E"/>
    <w:rsid w:val="00C81D3D"/>
    <w:rsid w:val="00C81E62"/>
    <w:rsid w:val="00C82038"/>
    <w:rsid w:val="00C8217E"/>
    <w:rsid w:val="00C821A6"/>
    <w:rsid w:val="00C824D4"/>
    <w:rsid w:val="00C82516"/>
    <w:rsid w:val="00C82550"/>
    <w:rsid w:val="00C8255E"/>
    <w:rsid w:val="00C82B5D"/>
    <w:rsid w:val="00C82E48"/>
    <w:rsid w:val="00C82ECA"/>
    <w:rsid w:val="00C83324"/>
    <w:rsid w:val="00C83427"/>
    <w:rsid w:val="00C8351D"/>
    <w:rsid w:val="00C83756"/>
    <w:rsid w:val="00C83762"/>
    <w:rsid w:val="00C83902"/>
    <w:rsid w:val="00C839F1"/>
    <w:rsid w:val="00C83A1D"/>
    <w:rsid w:val="00C83AD3"/>
    <w:rsid w:val="00C83D38"/>
    <w:rsid w:val="00C84078"/>
    <w:rsid w:val="00C84675"/>
    <w:rsid w:val="00C84769"/>
    <w:rsid w:val="00C84824"/>
    <w:rsid w:val="00C84863"/>
    <w:rsid w:val="00C84886"/>
    <w:rsid w:val="00C84901"/>
    <w:rsid w:val="00C8494B"/>
    <w:rsid w:val="00C84D70"/>
    <w:rsid w:val="00C85024"/>
    <w:rsid w:val="00C85087"/>
    <w:rsid w:val="00C8521B"/>
    <w:rsid w:val="00C85382"/>
    <w:rsid w:val="00C8545F"/>
    <w:rsid w:val="00C855B3"/>
    <w:rsid w:val="00C856B8"/>
    <w:rsid w:val="00C858C5"/>
    <w:rsid w:val="00C85A0D"/>
    <w:rsid w:val="00C85B7F"/>
    <w:rsid w:val="00C86204"/>
    <w:rsid w:val="00C862B4"/>
    <w:rsid w:val="00C86387"/>
    <w:rsid w:val="00C864C7"/>
    <w:rsid w:val="00C86521"/>
    <w:rsid w:val="00C86548"/>
    <w:rsid w:val="00C866CF"/>
    <w:rsid w:val="00C867FD"/>
    <w:rsid w:val="00C869CF"/>
    <w:rsid w:val="00C86B02"/>
    <w:rsid w:val="00C86B13"/>
    <w:rsid w:val="00C86F9A"/>
    <w:rsid w:val="00C8745B"/>
    <w:rsid w:val="00C87566"/>
    <w:rsid w:val="00C87579"/>
    <w:rsid w:val="00C87767"/>
    <w:rsid w:val="00C87F4C"/>
    <w:rsid w:val="00C903FA"/>
    <w:rsid w:val="00C90752"/>
    <w:rsid w:val="00C90784"/>
    <w:rsid w:val="00C90DA2"/>
    <w:rsid w:val="00C90DB4"/>
    <w:rsid w:val="00C90FA1"/>
    <w:rsid w:val="00C9118C"/>
    <w:rsid w:val="00C913A6"/>
    <w:rsid w:val="00C913BF"/>
    <w:rsid w:val="00C91467"/>
    <w:rsid w:val="00C91676"/>
    <w:rsid w:val="00C918B8"/>
    <w:rsid w:val="00C9192C"/>
    <w:rsid w:val="00C919E8"/>
    <w:rsid w:val="00C91FA1"/>
    <w:rsid w:val="00C92067"/>
    <w:rsid w:val="00C920C9"/>
    <w:rsid w:val="00C92140"/>
    <w:rsid w:val="00C92149"/>
    <w:rsid w:val="00C921AD"/>
    <w:rsid w:val="00C92236"/>
    <w:rsid w:val="00C925A2"/>
    <w:rsid w:val="00C92732"/>
    <w:rsid w:val="00C927F7"/>
    <w:rsid w:val="00C92807"/>
    <w:rsid w:val="00C92935"/>
    <w:rsid w:val="00C92950"/>
    <w:rsid w:val="00C92B0B"/>
    <w:rsid w:val="00C92C00"/>
    <w:rsid w:val="00C93262"/>
    <w:rsid w:val="00C939B9"/>
    <w:rsid w:val="00C939EE"/>
    <w:rsid w:val="00C93A60"/>
    <w:rsid w:val="00C93D2A"/>
    <w:rsid w:val="00C93FB5"/>
    <w:rsid w:val="00C93FC6"/>
    <w:rsid w:val="00C94017"/>
    <w:rsid w:val="00C94068"/>
    <w:rsid w:val="00C94587"/>
    <w:rsid w:val="00C947FB"/>
    <w:rsid w:val="00C94862"/>
    <w:rsid w:val="00C94AEB"/>
    <w:rsid w:val="00C94E0B"/>
    <w:rsid w:val="00C951AC"/>
    <w:rsid w:val="00C951AF"/>
    <w:rsid w:val="00C95258"/>
    <w:rsid w:val="00C95302"/>
    <w:rsid w:val="00C954C9"/>
    <w:rsid w:val="00C9560E"/>
    <w:rsid w:val="00C959D6"/>
    <w:rsid w:val="00C95D16"/>
    <w:rsid w:val="00C95E0E"/>
    <w:rsid w:val="00C95E89"/>
    <w:rsid w:val="00C95F16"/>
    <w:rsid w:val="00C965CD"/>
    <w:rsid w:val="00C966AF"/>
    <w:rsid w:val="00C96A3E"/>
    <w:rsid w:val="00C96BCD"/>
    <w:rsid w:val="00C973C7"/>
    <w:rsid w:val="00C973F1"/>
    <w:rsid w:val="00C97434"/>
    <w:rsid w:val="00C97500"/>
    <w:rsid w:val="00C97A16"/>
    <w:rsid w:val="00C97AB9"/>
    <w:rsid w:val="00C97B16"/>
    <w:rsid w:val="00C97B60"/>
    <w:rsid w:val="00C97F7A"/>
    <w:rsid w:val="00CA012F"/>
    <w:rsid w:val="00CA01A4"/>
    <w:rsid w:val="00CA0209"/>
    <w:rsid w:val="00CA038E"/>
    <w:rsid w:val="00CA0434"/>
    <w:rsid w:val="00CA04F2"/>
    <w:rsid w:val="00CA05A4"/>
    <w:rsid w:val="00CA05C4"/>
    <w:rsid w:val="00CA063A"/>
    <w:rsid w:val="00CA076F"/>
    <w:rsid w:val="00CA0917"/>
    <w:rsid w:val="00CA0AFE"/>
    <w:rsid w:val="00CA0D0B"/>
    <w:rsid w:val="00CA0D3B"/>
    <w:rsid w:val="00CA102A"/>
    <w:rsid w:val="00CA12F4"/>
    <w:rsid w:val="00CA1438"/>
    <w:rsid w:val="00CA150C"/>
    <w:rsid w:val="00CA1709"/>
    <w:rsid w:val="00CA1ABC"/>
    <w:rsid w:val="00CA1AD7"/>
    <w:rsid w:val="00CA1DAE"/>
    <w:rsid w:val="00CA1F16"/>
    <w:rsid w:val="00CA1FDA"/>
    <w:rsid w:val="00CA21AC"/>
    <w:rsid w:val="00CA24BE"/>
    <w:rsid w:val="00CA24E5"/>
    <w:rsid w:val="00CA2630"/>
    <w:rsid w:val="00CA2851"/>
    <w:rsid w:val="00CA2A49"/>
    <w:rsid w:val="00CA2AA6"/>
    <w:rsid w:val="00CA2C8F"/>
    <w:rsid w:val="00CA2CBA"/>
    <w:rsid w:val="00CA2DC7"/>
    <w:rsid w:val="00CA3235"/>
    <w:rsid w:val="00CA3260"/>
    <w:rsid w:val="00CA32D3"/>
    <w:rsid w:val="00CA33E7"/>
    <w:rsid w:val="00CA3484"/>
    <w:rsid w:val="00CA36BC"/>
    <w:rsid w:val="00CA38CA"/>
    <w:rsid w:val="00CA3C39"/>
    <w:rsid w:val="00CA3CA0"/>
    <w:rsid w:val="00CA3D0E"/>
    <w:rsid w:val="00CA415C"/>
    <w:rsid w:val="00CA4175"/>
    <w:rsid w:val="00CA41AD"/>
    <w:rsid w:val="00CA41DD"/>
    <w:rsid w:val="00CA4242"/>
    <w:rsid w:val="00CA4454"/>
    <w:rsid w:val="00CA4489"/>
    <w:rsid w:val="00CA470E"/>
    <w:rsid w:val="00CA4B69"/>
    <w:rsid w:val="00CA4D16"/>
    <w:rsid w:val="00CA50D5"/>
    <w:rsid w:val="00CA524B"/>
    <w:rsid w:val="00CA576B"/>
    <w:rsid w:val="00CA5803"/>
    <w:rsid w:val="00CA5811"/>
    <w:rsid w:val="00CA59CE"/>
    <w:rsid w:val="00CA59EC"/>
    <w:rsid w:val="00CA5A75"/>
    <w:rsid w:val="00CA5C7C"/>
    <w:rsid w:val="00CA6073"/>
    <w:rsid w:val="00CA60DC"/>
    <w:rsid w:val="00CA61BF"/>
    <w:rsid w:val="00CA6245"/>
    <w:rsid w:val="00CA6417"/>
    <w:rsid w:val="00CA6CC5"/>
    <w:rsid w:val="00CA6D85"/>
    <w:rsid w:val="00CA7124"/>
    <w:rsid w:val="00CA7242"/>
    <w:rsid w:val="00CA7701"/>
    <w:rsid w:val="00CA7722"/>
    <w:rsid w:val="00CA77D6"/>
    <w:rsid w:val="00CA77D7"/>
    <w:rsid w:val="00CA78F9"/>
    <w:rsid w:val="00CA7990"/>
    <w:rsid w:val="00CA79C9"/>
    <w:rsid w:val="00CA7A4E"/>
    <w:rsid w:val="00CA7B87"/>
    <w:rsid w:val="00CA7F0C"/>
    <w:rsid w:val="00CB0204"/>
    <w:rsid w:val="00CB0243"/>
    <w:rsid w:val="00CB040D"/>
    <w:rsid w:val="00CB0703"/>
    <w:rsid w:val="00CB0710"/>
    <w:rsid w:val="00CB07B7"/>
    <w:rsid w:val="00CB0B16"/>
    <w:rsid w:val="00CB0FD2"/>
    <w:rsid w:val="00CB10E9"/>
    <w:rsid w:val="00CB11D9"/>
    <w:rsid w:val="00CB14DF"/>
    <w:rsid w:val="00CB1CF9"/>
    <w:rsid w:val="00CB1D7B"/>
    <w:rsid w:val="00CB2094"/>
    <w:rsid w:val="00CB215F"/>
    <w:rsid w:val="00CB2167"/>
    <w:rsid w:val="00CB2186"/>
    <w:rsid w:val="00CB251F"/>
    <w:rsid w:val="00CB28FB"/>
    <w:rsid w:val="00CB2B37"/>
    <w:rsid w:val="00CB2E65"/>
    <w:rsid w:val="00CB2ECF"/>
    <w:rsid w:val="00CB2FBF"/>
    <w:rsid w:val="00CB3077"/>
    <w:rsid w:val="00CB316C"/>
    <w:rsid w:val="00CB32F9"/>
    <w:rsid w:val="00CB354E"/>
    <w:rsid w:val="00CB35D0"/>
    <w:rsid w:val="00CB3901"/>
    <w:rsid w:val="00CB41C0"/>
    <w:rsid w:val="00CB4597"/>
    <w:rsid w:val="00CB48CC"/>
    <w:rsid w:val="00CB4C7D"/>
    <w:rsid w:val="00CB4C89"/>
    <w:rsid w:val="00CB4E84"/>
    <w:rsid w:val="00CB4F42"/>
    <w:rsid w:val="00CB5524"/>
    <w:rsid w:val="00CB59A7"/>
    <w:rsid w:val="00CB5AD8"/>
    <w:rsid w:val="00CB5DFA"/>
    <w:rsid w:val="00CB601B"/>
    <w:rsid w:val="00CB6268"/>
    <w:rsid w:val="00CB635A"/>
    <w:rsid w:val="00CB6791"/>
    <w:rsid w:val="00CB67C9"/>
    <w:rsid w:val="00CB6837"/>
    <w:rsid w:val="00CB69DC"/>
    <w:rsid w:val="00CB6D9E"/>
    <w:rsid w:val="00CB70D2"/>
    <w:rsid w:val="00CB73A6"/>
    <w:rsid w:val="00CB78B3"/>
    <w:rsid w:val="00CB799D"/>
    <w:rsid w:val="00CB7B7A"/>
    <w:rsid w:val="00CC0567"/>
    <w:rsid w:val="00CC07DD"/>
    <w:rsid w:val="00CC156A"/>
    <w:rsid w:val="00CC16A1"/>
    <w:rsid w:val="00CC175E"/>
    <w:rsid w:val="00CC17E2"/>
    <w:rsid w:val="00CC1840"/>
    <w:rsid w:val="00CC1BF9"/>
    <w:rsid w:val="00CC1D1C"/>
    <w:rsid w:val="00CC209F"/>
    <w:rsid w:val="00CC2412"/>
    <w:rsid w:val="00CC251D"/>
    <w:rsid w:val="00CC265A"/>
    <w:rsid w:val="00CC28F6"/>
    <w:rsid w:val="00CC2B8B"/>
    <w:rsid w:val="00CC2DC8"/>
    <w:rsid w:val="00CC2E3F"/>
    <w:rsid w:val="00CC3579"/>
    <w:rsid w:val="00CC36EA"/>
    <w:rsid w:val="00CC3836"/>
    <w:rsid w:val="00CC3E51"/>
    <w:rsid w:val="00CC45AF"/>
    <w:rsid w:val="00CC48A0"/>
    <w:rsid w:val="00CC4A1F"/>
    <w:rsid w:val="00CC4AC8"/>
    <w:rsid w:val="00CC4C45"/>
    <w:rsid w:val="00CC4D21"/>
    <w:rsid w:val="00CC51A4"/>
    <w:rsid w:val="00CC51C0"/>
    <w:rsid w:val="00CC531E"/>
    <w:rsid w:val="00CC53C4"/>
    <w:rsid w:val="00CC55CB"/>
    <w:rsid w:val="00CC5674"/>
    <w:rsid w:val="00CC59B1"/>
    <w:rsid w:val="00CC59DF"/>
    <w:rsid w:val="00CC5CF3"/>
    <w:rsid w:val="00CC608E"/>
    <w:rsid w:val="00CC622C"/>
    <w:rsid w:val="00CC6491"/>
    <w:rsid w:val="00CC6A7A"/>
    <w:rsid w:val="00CC6ADF"/>
    <w:rsid w:val="00CC70A5"/>
    <w:rsid w:val="00CC71E3"/>
    <w:rsid w:val="00CC7B40"/>
    <w:rsid w:val="00CC7F16"/>
    <w:rsid w:val="00CC7FAD"/>
    <w:rsid w:val="00CD001E"/>
    <w:rsid w:val="00CD0267"/>
    <w:rsid w:val="00CD070C"/>
    <w:rsid w:val="00CD085C"/>
    <w:rsid w:val="00CD0C8B"/>
    <w:rsid w:val="00CD11A8"/>
    <w:rsid w:val="00CD12BE"/>
    <w:rsid w:val="00CD1505"/>
    <w:rsid w:val="00CD1599"/>
    <w:rsid w:val="00CD19CD"/>
    <w:rsid w:val="00CD21AB"/>
    <w:rsid w:val="00CD227B"/>
    <w:rsid w:val="00CD2291"/>
    <w:rsid w:val="00CD24D1"/>
    <w:rsid w:val="00CD263C"/>
    <w:rsid w:val="00CD2650"/>
    <w:rsid w:val="00CD274F"/>
    <w:rsid w:val="00CD299E"/>
    <w:rsid w:val="00CD2C70"/>
    <w:rsid w:val="00CD2E0E"/>
    <w:rsid w:val="00CD2E85"/>
    <w:rsid w:val="00CD39F1"/>
    <w:rsid w:val="00CD3A5A"/>
    <w:rsid w:val="00CD3B50"/>
    <w:rsid w:val="00CD3B73"/>
    <w:rsid w:val="00CD3D47"/>
    <w:rsid w:val="00CD4682"/>
    <w:rsid w:val="00CD471F"/>
    <w:rsid w:val="00CD4CAF"/>
    <w:rsid w:val="00CD52FA"/>
    <w:rsid w:val="00CD536C"/>
    <w:rsid w:val="00CD55E3"/>
    <w:rsid w:val="00CD5856"/>
    <w:rsid w:val="00CD59E7"/>
    <w:rsid w:val="00CD59F6"/>
    <w:rsid w:val="00CD5EA0"/>
    <w:rsid w:val="00CD6054"/>
    <w:rsid w:val="00CD6469"/>
    <w:rsid w:val="00CD6756"/>
    <w:rsid w:val="00CD6827"/>
    <w:rsid w:val="00CD6C89"/>
    <w:rsid w:val="00CD6D9B"/>
    <w:rsid w:val="00CD6F05"/>
    <w:rsid w:val="00CD6FC0"/>
    <w:rsid w:val="00CD6FF1"/>
    <w:rsid w:val="00CD73E8"/>
    <w:rsid w:val="00CD748F"/>
    <w:rsid w:val="00CD74E7"/>
    <w:rsid w:val="00CD755B"/>
    <w:rsid w:val="00CD7AB2"/>
    <w:rsid w:val="00CD7B2C"/>
    <w:rsid w:val="00CD7BB2"/>
    <w:rsid w:val="00CD7D1C"/>
    <w:rsid w:val="00CE014D"/>
    <w:rsid w:val="00CE0151"/>
    <w:rsid w:val="00CE0586"/>
    <w:rsid w:val="00CE07E5"/>
    <w:rsid w:val="00CE0839"/>
    <w:rsid w:val="00CE0CD2"/>
    <w:rsid w:val="00CE12D8"/>
    <w:rsid w:val="00CE13DE"/>
    <w:rsid w:val="00CE153D"/>
    <w:rsid w:val="00CE15C5"/>
    <w:rsid w:val="00CE1688"/>
    <w:rsid w:val="00CE1954"/>
    <w:rsid w:val="00CE1CEE"/>
    <w:rsid w:val="00CE1F27"/>
    <w:rsid w:val="00CE21A7"/>
    <w:rsid w:val="00CE21F0"/>
    <w:rsid w:val="00CE23EB"/>
    <w:rsid w:val="00CE2EC2"/>
    <w:rsid w:val="00CE3156"/>
    <w:rsid w:val="00CE3213"/>
    <w:rsid w:val="00CE32A5"/>
    <w:rsid w:val="00CE3452"/>
    <w:rsid w:val="00CE3504"/>
    <w:rsid w:val="00CE35EE"/>
    <w:rsid w:val="00CE3FEB"/>
    <w:rsid w:val="00CE4059"/>
    <w:rsid w:val="00CE4512"/>
    <w:rsid w:val="00CE4915"/>
    <w:rsid w:val="00CE492D"/>
    <w:rsid w:val="00CE4F96"/>
    <w:rsid w:val="00CE5070"/>
    <w:rsid w:val="00CE5231"/>
    <w:rsid w:val="00CE550F"/>
    <w:rsid w:val="00CE5656"/>
    <w:rsid w:val="00CE5686"/>
    <w:rsid w:val="00CE56FA"/>
    <w:rsid w:val="00CE578B"/>
    <w:rsid w:val="00CE6666"/>
    <w:rsid w:val="00CE6720"/>
    <w:rsid w:val="00CE6864"/>
    <w:rsid w:val="00CE6901"/>
    <w:rsid w:val="00CE6F07"/>
    <w:rsid w:val="00CE74E1"/>
    <w:rsid w:val="00CE74EB"/>
    <w:rsid w:val="00CE7992"/>
    <w:rsid w:val="00CE7DDB"/>
    <w:rsid w:val="00CE7E2F"/>
    <w:rsid w:val="00CF0248"/>
    <w:rsid w:val="00CF0339"/>
    <w:rsid w:val="00CF054F"/>
    <w:rsid w:val="00CF05E8"/>
    <w:rsid w:val="00CF06DC"/>
    <w:rsid w:val="00CF0747"/>
    <w:rsid w:val="00CF0840"/>
    <w:rsid w:val="00CF0962"/>
    <w:rsid w:val="00CF0D94"/>
    <w:rsid w:val="00CF0E3B"/>
    <w:rsid w:val="00CF1040"/>
    <w:rsid w:val="00CF11FB"/>
    <w:rsid w:val="00CF127D"/>
    <w:rsid w:val="00CF13B5"/>
    <w:rsid w:val="00CF14B5"/>
    <w:rsid w:val="00CF16A3"/>
    <w:rsid w:val="00CF19AA"/>
    <w:rsid w:val="00CF1B7E"/>
    <w:rsid w:val="00CF1B99"/>
    <w:rsid w:val="00CF1BD0"/>
    <w:rsid w:val="00CF1BDF"/>
    <w:rsid w:val="00CF1C85"/>
    <w:rsid w:val="00CF1D7D"/>
    <w:rsid w:val="00CF1DD0"/>
    <w:rsid w:val="00CF1E6D"/>
    <w:rsid w:val="00CF2031"/>
    <w:rsid w:val="00CF216D"/>
    <w:rsid w:val="00CF23DE"/>
    <w:rsid w:val="00CF2468"/>
    <w:rsid w:val="00CF26E7"/>
    <w:rsid w:val="00CF282A"/>
    <w:rsid w:val="00CF2864"/>
    <w:rsid w:val="00CF2A94"/>
    <w:rsid w:val="00CF2B6E"/>
    <w:rsid w:val="00CF2B82"/>
    <w:rsid w:val="00CF2C83"/>
    <w:rsid w:val="00CF34E7"/>
    <w:rsid w:val="00CF377A"/>
    <w:rsid w:val="00CF3DA2"/>
    <w:rsid w:val="00CF3F32"/>
    <w:rsid w:val="00CF3F40"/>
    <w:rsid w:val="00CF4431"/>
    <w:rsid w:val="00CF44BC"/>
    <w:rsid w:val="00CF475D"/>
    <w:rsid w:val="00CF47D9"/>
    <w:rsid w:val="00CF4A4D"/>
    <w:rsid w:val="00CF4A60"/>
    <w:rsid w:val="00CF4C9B"/>
    <w:rsid w:val="00CF4F36"/>
    <w:rsid w:val="00CF521C"/>
    <w:rsid w:val="00CF5540"/>
    <w:rsid w:val="00CF557B"/>
    <w:rsid w:val="00CF5634"/>
    <w:rsid w:val="00CF56F2"/>
    <w:rsid w:val="00CF5703"/>
    <w:rsid w:val="00CF583A"/>
    <w:rsid w:val="00CF590E"/>
    <w:rsid w:val="00CF5E8A"/>
    <w:rsid w:val="00CF5EBB"/>
    <w:rsid w:val="00CF5FCB"/>
    <w:rsid w:val="00CF628F"/>
    <w:rsid w:val="00CF6530"/>
    <w:rsid w:val="00CF6567"/>
    <w:rsid w:val="00CF6700"/>
    <w:rsid w:val="00CF6713"/>
    <w:rsid w:val="00CF681B"/>
    <w:rsid w:val="00CF68A5"/>
    <w:rsid w:val="00CF6964"/>
    <w:rsid w:val="00CF7370"/>
    <w:rsid w:val="00CF73A6"/>
    <w:rsid w:val="00CF779F"/>
    <w:rsid w:val="00CF78E0"/>
    <w:rsid w:val="00CF79C7"/>
    <w:rsid w:val="00D0044D"/>
    <w:rsid w:val="00D006E8"/>
    <w:rsid w:val="00D00877"/>
    <w:rsid w:val="00D00F8C"/>
    <w:rsid w:val="00D011F2"/>
    <w:rsid w:val="00D01B4C"/>
    <w:rsid w:val="00D01D57"/>
    <w:rsid w:val="00D01FF1"/>
    <w:rsid w:val="00D02932"/>
    <w:rsid w:val="00D02A36"/>
    <w:rsid w:val="00D02DF6"/>
    <w:rsid w:val="00D02E95"/>
    <w:rsid w:val="00D030FF"/>
    <w:rsid w:val="00D032CB"/>
    <w:rsid w:val="00D0354D"/>
    <w:rsid w:val="00D03734"/>
    <w:rsid w:val="00D03C2A"/>
    <w:rsid w:val="00D03D7E"/>
    <w:rsid w:val="00D03ED5"/>
    <w:rsid w:val="00D03EF3"/>
    <w:rsid w:val="00D03F9A"/>
    <w:rsid w:val="00D03FBF"/>
    <w:rsid w:val="00D042B9"/>
    <w:rsid w:val="00D04B7A"/>
    <w:rsid w:val="00D04B9F"/>
    <w:rsid w:val="00D04C4B"/>
    <w:rsid w:val="00D04E4B"/>
    <w:rsid w:val="00D04E50"/>
    <w:rsid w:val="00D04F87"/>
    <w:rsid w:val="00D050AA"/>
    <w:rsid w:val="00D053A5"/>
    <w:rsid w:val="00D05483"/>
    <w:rsid w:val="00D057B6"/>
    <w:rsid w:val="00D05951"/>
    <w:rsid w:val="00D05DD6"/>
    <w:rsid w:val="00D0629D"/>
    <w:rsid w:val="00D06441"/>
    <w:rsid w:val="00D0685E"/>
    <w:rsid w:val="00D06928"/>
    <w:rsid w:val="00D06B5F"/>
    <w:rsid w:val="00D06B8F"/>
    <w:rsid w:val="00D06CE5"/>
    <w:rsid w:val="00D070F2"/>
    <w:rsid w:val="00D07119"/>
    <w:rsid w:val="00D07404"/>
    <w:rsid w:val="00D07776"/>
    <w:rsid w:val="00D077D6"/>
    <w:rsid w:val="00D07D82"/>
    <w:rsid w:val="00D07E99"/>
    <w:rsid w:val="00D07F28"/>
    <w:rsid w:val="00D10029"/>
    <w:rsid w:val="00D102BE"/>
    <w:rsid w:val="00D10A98"/>
    <w:rsid w:val="00D10B50"/>
    <w:rsid w:val="00D10B61"/>
    <w:rsid w:val="00D10B7B"/>
    <w:rsid w:val="00D10C88"/>
    <w:rsid w:val="00D10D91"/>
    <w:rsid w:val="00D10EF2"/>
    <w:rsid w:val="00D10F57"/>
    <w:rsid w:val="00D1110F"/>
    <w:rsid w:val="00D11443"/>
    <w:rsid w:val="00D1153B"/>
    <w:rsid w:val="00D11593"/>
    <w:rsid w:val="00D115FC"/>
    <w:rsid w:val="00D11739"/>
    <w:rsid w:val="00D117CE"/>
    <w:rsid w:val="00D1188A"/>
    <w:rsid w:val="00D11B51"/>
    <w:rsid w:val="00D11D16"/>
    <w:rsid w:val="00D11F78"/>
    <w:rsid w:val="00D11FD2"/>
    <w:rsid w:val="00D12144"/>
    <w:rsid w:val="00D12148"/>
    <w:rsid w:val="00D1214C"/>
    <w:rsid w:val="00D1219F"/>
    <w:rsid w:val="00D12208"/>
    <w:rsid w:val="00D12454"/>
    <w:rsid w:val="00D126F3"/>
    <w:rsid w:val="00D12757"/>
    <w:rsid w:val="00D129B1"/>
    <w:rsid w:val="00D12AA9"/>
    <w:rsid w:val="00D12AB0"/>
    <w:rsid w:val="00D12B1C"/>
    <w:rsid w:val="00D12B6A"/>
    <w:rsid w:val="00D12B8C"/>
    <w:rsid w:val="00D12DCB"/>
    <w:rsid w:val="00D12DF2"/>
    <w:rsid w:val="00D13055"/>
    <w:rsid w:val="00D13396"/>
    <w:rsid w:val="00D135A8"/>
    <w:rsid w:val="00D135D8"/>
    <w:rsid w:val="00D135DD"/>
    <w:rsid w:val="00D13AD1"/>
    <w:rsid w:val="00D13E27"/>
    <w:rsid w:val="00D13E4E"/>
    <w:rsid w:val="00D14962"/>
    <w:rsid w:val="00D14D5F"/>
    <w:rsid w:val="00D14E45"/>
    <w:rsid w:val="00D14F2D"/>
    <w:rsid w:val="00D150D1"/>
    <w:rsid w:val="00D155AA"/>
    <w:rsid w:val="00D155CE"/>
    <w:rsid w:val="00D155D3"/>
    <w:rsid w:val="00D158DF"/>
    <w:rsid w:val="00D15C27"/>
    <w:rsid w:val="00D16102"/>
    <w:rsid w:val="00D16334"/>
    <w:rsid w:val="00D164B2"/>
    <w:rsid w:val="00D16872"/>
    <w:rsid w:val="00D16C0F"/>
    <w:rsid w:val="00D16CA9"/>
    <w:rsid w:val="00D16CAF"/>
    <w:rsid w:val="00D16D33"/>
    <w:rsid w:val="00D16D58"/>
    <w:rsid w:val="00D16FAB"/>
    <w:rsid w:val="00D1725D"/>
    <w:rsid w:val="00D175B5"/>
    <w:rsid w:val="00D175D7"/>
    <w:rsid w:val="00D17A53"/>
    <w:rsid w:val="00D17C71"/>
    <w:rsid w:val="00D17CC9"/>
    <w:rsid w:val="00D20097"/>
    <w:rsid w:val="00D20289"/>
    <w:rsid w:val="00D20352"/>
    <w:rsid w:val="00D20362"/>
    <w:rsid w:val="00D20A7B"/>
    <w:rsid w:val="00D20F07"/>
    <w:rsid w:val="00D21170"/>
    <w:rsid w:val="00D212B9"/>
    <w:rsid w:val="00D212EF"/>
    <w:rsid w:val="00D21401"/>
    <w:rsid w:val="00D2157F"/>
    <w:rsid w:val="00D21C8F"/>
    <w:rsid w:val="00D21E80"/>
    <w:rsid w:val="00D220DF"/>
    <w:rsid w:val="00D223F9"/>
    <w:rsid w:val="00D22A08"/>
    <w:rsid w:val="00D22CED"/>
    <w:rsid w:val="00D22D90"/>
    <w:rsid w:val="00D22DE1"/>
    <w:rsid w:val="00D23160"/>
    <w:rsid w:val="00D23778"/>
    <w:rsid w:val="00D2394A"/>
    <w:rsid w:val="00D23A29"/>
    <w:rsid w:val="00D23AF5"/>
    <w:rsid w:val="00D23E04"/>
    <w:rsid w:val="00D23FC4"/>
    <w:rsid w:val="00D24160"/>
    <w:rsid w:val="00D2440D"/>
    <w:rsid w:val="00D244C5"/>
    <w:rsid w:val="00D24594"/>
    <w:rsid w:val="00D24945"/>
    <w:rsid w:val="00D24D36"/>
    <w:rsid w:val="00D24F54"/>
    <w:rsid w:val="00D25109"/>
    <w:rsid w:val="00D2554B"/>
    <w:rsid w:val="00D258C2"/>
    <w:rsid w:val="00D25A79"/>
    <w:rsid w:val="00D25CBC"/>
    <w:rsid w:val="00D25D0E"/>
    <w:rsid w:val="00D25D59"/>
    <w:rsid w:val="00D25E6F"/>
    <w:rsid w:val="00D26001"/>
    <w:rsid w:val="00D26150"/>
    <w:rsid w:val="00D26935"/>
    <w:rsid w:val="00D269D6"/>
    <w:rsid w:val="00D26A04"/>
    <w:rsid w:val="00D26AB0"/>
    <w:rsid w:val="00D26B8D"/>
    <w:rsid w:val="00D26E78"/>
    <w:rsid w:val="00D26EED"/>
    <w:rsid w:val="00D27232"/>
    <w:rsid w:val="00D2761A"/>
    <w:rsid w:val="00D2780F"/>
    <w:rsid w:val="00D278A5"/>
    <w:rsid w:val="00D27BB3"/>
    <w:rsid w:val="00D30070"/>
    <w:rsid w:val="00D302D5"/>
    <w:rsid w:val="00D30645"/>
    <w:rsid w:val="00D3079E"/>
    <w:rsid w:val="00D3090E"/>
    <w:rsid w:val="00D30974"/>
    <w:rsid w:val="00D310FB"/>
    <w:rsid w:val="00D3197B"/>
    <w:rsid w:val="00D31E52"/>
    <w:rsid w:val="00D31E5A"/>
    <w:rsid w:val="00D320FA"/>
    <w:rsid w:val="00D32672"/>
    <w:rsid w:val="00D3280B"/>
    <w:rsid w:val="00D3280D"/>
    <w:rsid w:val="00D32F0C"/>
    <w:rsid w:val="00D32F17"/>
    <w:rsid w:val="00D33466"/>
    <w:rsid w:val="00D335E5"/>
    <w:rsid w:val="00D3399F"/>
    <w:rsid w:val="00D33A4D"/>
    <w:rsid w:val="00D33B0F"/>
    <w:rsid w:val="00D33CDD"/>
    <w:rsid w:val="00D33F76"/>
    <w:rsid w:val="00D340EE"/>
    <w:rsid w:val="00D341C7"/>
    <w:rsid w:val="00D347D6"/>
    <w:rsid w:val="00D34AFE"/>
    <w:rsid w:val="00D35798"/>
    <w:rsid w:val="00D35A7C"/>
    <w:rsid w:val="00D35B3C"/>
    <w:rsid w:val="00D35BDE"/>
    <w:rsid w:val="00D35C23"/>
    <w:rsid w:val="00D35D02"/>
    <w:rsid w:val="00D35DD6"/>
    <w:rsid w:val="00D35F6E"/>
    <w:rsid w:val="00D36028"/>
    <w:rsid w:val="00D36293"/>
    <w:rsid w:val="00D362B1"/>
    <w:rsid w:val="00D3630B"/>
    <w:rsid w:val="00D3637A"/>
    <w:rsid w:val="00D36381"/>
    <w:rsid w:val="00D36882"/>
    <w:rsid w:val="00D36899"/>
    <w:rsid w:val="00D36923"/>
    <w:rsid w:val="00D36CAA"/>
    <w:rsid w:val="00D36EDC"/>
    <w:rsid w:val="00D36F15"/>
    <w:rsid w:val="00D36FB3"/>
    <w:rsid w:val="00D371A7"/>
    <w:rsid w:val="00D37272"/>
    <w:rsid w:val="00D377DA"/>
    <w:rsid w:val="00D377EA"/>
    <w:rsid w:val="00D37B47"/>
    <w:rsid w:val="00D37CAF"/>
    <w:rsid w:val="00D37D76"/>
    <w:rsid w:val="00D4006D"/>
    <w:rsid w:val="00D402EF"/>
    <w:rsid w:val="00D403B1"/>
    <w:rsid w:val="00D40B1A"/>
    <w:rsid w:val="00D40EA8"/>
    <w:rsid w:val="00D415CA"/>
    <w:rsid w:val="00D41A59"/>
    <w:rsid w:val="00D41AB6"/>
    <w:rsid w:val="00D41BC1"/>
    <w:rsid w:val="00D41C1B"/>
    <w:rsid w:val="00D41C8A"/>
    <w:rsid w:val="00D41F43"/>
    <w:rsid w:val="00D41FF4"/>
    <w:rsid w:val="00D42293"/>
    <w:rsid w:val="00D42342"/>
    <w:rsid w:val="00D424DC"/>
    <w:rsid w:val="00D425AC"/>
    <w:rsid w:val="00D425C8"/>
    <w:rsid w:val="00D426E3"/>
    <w:rsid w:val="00D427FB"/>
    <w:rsid w:val="00D42CE6"/>
    <w:rsid w:val="00D431B7"/>
    <w:rsid w:val="00D43253"/>
    <w:rsid w:val="00D43313"/>
    <w:rsid w:val="00D4336D"/>
    <w:rsid w:val="00D43688"/>
    <w:rsid w:val="00D437BD"/>
    <w:rsid w:val="00D43AB3"/>
    <w:rsid w:val="00D44062"/>
    <w:rsid w:val="00D441D5"/>
    <w:rsid w:val="00D4422D"/>
    <w:rsid w:val="00D445A3"/>
    <w:rsid w:val="00D44848"/>
    <w:rsid w:val="00D44A05"/>
    <w:rsid w:val="00D44CCD"/>
    <w:rsid w:val="00D44D18"/>
    <w:rsid w:val="00D451AD"/>
    <w:rsid w:val="00D45341"/>
    <w:rsid w:val="00D453CC"/>
    <w:rsid w:val="00D453CE"/>
    <w:rsid w:val="00D4540E"/>
    <w:rsid w:val="00D454CA"/>
    <w:rsid w:val="00D454CB"/>
    <w:rsid w:val="00D45945"/>
    <w:rsid w:val="00D45A75"/>
    <w:rsid w:val="00D45A95"/>
    <w:rsid w:val="00D45AC9"/>
    <w:rsid w:val="00D45C93"/>
    <w:rsid w:val="00D4644B"/>
    <w:rsid w:val="00D46651"/>
    <w:rsid w:val="00D4671D"/>
    <w:rsid w:val="00D467D9"/>
    <w:rsid w:val="00D47469"/>
    <w:rsid w:val="00D47519"/>
    <w:rsid w:val="00D477EC"/>
    <w:rsid w:val="00D478D1"/>
    <w:rsid w:val="00D478D8"/>
    <w:rsid w:val="00D503CD"/>
    <w:rsid w:val="00D5094A"/>
    <w:rsid w:val="00D50B6E"/>
    <w:rsid w:val="00D50D30"/>
    <w:rsid w:val="00D50D3F"/>
    <w:rsid w:val="00D50E0B"/>
    <w:rsid w:val="00D50F46"/>
    <w:rsid w:val="00D50F4F"/>
    <w:rsid w:val="00D5122F"/>
    <w:rsid w:val="00D5128B"/>
    <w:rsid w:val="00D512FC"/>
    <w:rsid w:val="00D51D5A"/>
    <w:rsid w:val="00D51E63"/>
    <w:rsid w:val="00D51FDF"/>
    <w:rsid w:val="00D52AB2"/>
    <w:rsid w:val="00D52DDA"/>
    <w:rsid w:val="00D52FB8"/>
    <w:rsid w:val="00D52FC2"/>
    <w:rsid w:val="00D52FDD"/>
    <w:rsid w:val="00D5303F"/>
    <w:rsid w:val="00D530D7"/>
    <w:rsid w:val="00D5316C"/>
    <w:rsid w:val="00D536F9"/>
    <w:rsid w:val="00D53AAE"/>
    <w:rsid w:val="00D53DCB"/>
    <w:rsid w:val="00D53F3F"/>
    <w:rsid w:val="00D541A8"/>
    <w:rsid w:val="00D542B6"/>
    <w:rsid w:val="00D545FF"/>
    <w:rsid w:val="00D547BE"/>
    <w:rsid w:val="00D5480B"/>
    <w:rsid w:val="00D549EB"/>
    <w:rsid w:val="00D550FE"/>
    <w:rsid w:val="00D55227"/>
    <w:rsid w:val="00D554CD"/>
    <w:rsid w:val="00D5562A"/>
    <w:rsid w:val="00D55862"/>
    <w:rsid w:val="00D5589B"/>
    <w:rsid w:val="00D558C1"/>
    <w:rsid w:val="00D55C21"/>
    <w:rsid w:val="00D55CED"/>
    <w:rsid w:val="00D55F4C"/>
    <w:rsid w:val="00D55F6A"/>
    <w:rsid w:val="00D5600B"/>
    <w:rsid w:val="00D56072"/>
    <w:rsid w:val="00D56170"/>
    <w:rsid w:val="00D562E6"/>
    <w:rsid w:val="00D563D9"/>
    <w:rsid w:val="00D564CD"/>
    <w:rsid w:val="00D5674D"/>
    <w:rsid w:val="00D567D2"/>
    <w:rsid w:val="00D56D73"/>
    <w:rsid w:val="00D56DC2"/>
    <w:rsid w:val="00D571F0"/>
    <w:rsid w:val="00D57511"/>
    <w:rsid w:val="00D576E2"/>
    <w:rsid w:val="00D5795A"/>
    <w:rsid w:val="00D57BC7"/>
    <w:rsid w:val="00D57FEC"/>
    <w:rsid w:val="00D6025C"/>
    <w:rsid w:val="00D6026D"/>
    <w:rsid w:val="00D60290"/>
    <w:rsid w:val="00D607A6"/>
    <w:rsid w:val="00D60D39"/>
    <w:rsid w:val="00D60DC2"/>
    <w:rsid w:val="00D60EB4"/>
    <w:rsid w:val="00D60FAD"/>
    <w:rsid w:val="00D61158"/>
    <w:rsid w:val="00D6136C"/>
    <w:rsid w:val="00D613BF"/>
    <w:rsid w:val="00D617DE"/>
    <w:rsid w:val="00D618A8"/>
    <w:rsid w:val="00D618D1"/>
    <w:rsid w:val="00D61DB9"/>
    <w:rsid w:val="00D61F83"/>
    <w:rsid w:val="00D62868"/>
    <w:rsid w:val="00D62A00"/>
    <w:rsid w:val="00D62AF9"/>
    <w:rsid w:val="00D6313A"/>
    <w:rsid w:val="00D63410"/>
    <w:rsid w:val="00D634A1"/>
    <w:rsid w:val="00D63575"/>
    <w:rsid w:val="00D6371B"/>
    <w:rsid w:val="00D6394E"/>
    <w:rsid w:val="00D63E2B"/>
    <w:rsid w:val="00D63F74"/>
    <w:rsid w:val="00D64257"/>
    <w:rsid w:val="00D64259"/>
    <w:rsid w:val="00D64309"/>
    <w:rsid w:val="00D6452B"/>
    <w:rsid w:val="00D6452D"/>
    <w:rsid w:val="00D6461D"/>
    <w:rsid w:val="00D64914"/>
    <w:rsid w:val="00D651CF"/>
    <w:rsid w:val="00D65459"/>
    <w:rsid w:val="00D657D1"/>
    <w:rsid w:val="00D6581B"/>
    <w:rsid w:val="00D659D7"/>
    <w:rsid w:val="00D65DBF"/>
    <w:rsid w:val="00D65F56"/>
    <w:rsid w:val="00D663D4"/>
    <w:rsid w:val="00D663DD"/>
    <w:rsid w:val="00D66439"/>
    <w:rsid w:val="00D6691C"/>
    <w:rsid w:val="00D66975"/>
    <w:rsid w:val="00D66E55"/>
    <w:rsid w:val="00D67523"/>
    <w:rsid w:val="00D67673"/>
    <w:rsid w:val="00D679A3"/>
    <w:rsid w:val="00D67ADD"/>
    <w:rsid w:val="00D67C24"/>
    <w:rsid w:val="00D67E88"/>
    <w:rsid w:val="00D67F2A"/>
    <w:rsid w:val="00D67F56"/>
    <w:rsid w:val="00D67FAA"/>
    <w:rsid w:val="00D7077F"/>
    <w:rsid w:val="00D7080F"/>
    <w:rsid w:val="00D70919"/>
    <w:rsid w:val="00D715D1"/>
    <w:rsid w:val="00D71917"/>
    <w:rsid w:val="00D71BD6"/>
    <w:rsid w:val="00D720CF"/>
    <w:rsid w:val="00D72741"/>
    <w:rsid w:val="00D727B8"/>
    <w:rsid w:val="00D727D7"/>
    <w:rsid w:val="00D729B0"/>
    <w:rsid w:val="00D72A58"/>
    <w:rsid w:val="00D72D23"/>
    <w:rsid w:val="00D72D5B"/>
    <w:rsid w:val="00D72E22"/>
    <w:rsid w:val="00D72EC2"/>
    <w:rsid w:val="00D72FCD"/>
    <w:rsid w:val="00D72FD2"/>
    <w:rsid w:val="00D730E1"/>
    <w:rsid w:val="00D73268"/>
    <w:rsid w:val="00D73356"/>
    <w:rsid w:val="00D7368A"/>
    <w:rsid w:val="00D738D4"/>
    <w:rsid w:val="00D73BF2"/>
    <w:rsid w:val="00D741A0"/>
    <w:rsid w:val="00D741A5"/>
    <w:rsid w:val="00D74485"/>
    <w:rsid w:val="00D74496"/>
    <w:rsid w:val="00D745DD"/>
    <w:rsid w:val="00D74931"/>
    <w:rsid w:val="00D74BEF"/>
    <w:rsid w:val="00D74E12"/>
    <w:rsid w:val="00D74EE9"/>
    <w:rsid w:val="00D7535D"/>
    <w:rsid w:val="00D7537B"/>
    <w:rsid w:val="00D754BE"/>
    <w:rsid w:val="00D7561F"/>
    <w:rsid w:val="00D7598A"/>
    <w:rsid w:val="00D75B44"/>
    <w:rsid w:val="00D762D9"/>
    <w:rsid w:val="00D76354"/>
    <w:rsid w:val="00D7664F"/>
    <w:rsid w:val="00D766DB"/>
    <w:rsid w:val="00D76840"/>
    <w:rsid w:val="00D769F4"/>
    <w:rsid w:val="00D76B50"/>
    <w:rsid w:val="00D7726F"/>
    <w:rsid w:val="00D77604"/>
    <w:rsid w:val="00D77A66"/>
    <w:rsid w:val="00D77C34"/>
    <w:rsid w:val="00D77C3D"/>
    <w:rsid w:val="00D77CA0"/>
    <w:rsid w:val="00D77CAD"/>
    <w:rsid w:val="00D77E03"/>
    <w:rsid w:val="00D8031E"/>
    <w:rsid w:val="00D80805"/>
    <w:rsid w:val="00D8080E"/>
    <w:rsid w:val="00D8088A"/>
    <w:rsid w:val="00D8096C"/>
    <w:rsid w:val="00D80A03"/>
    <w:rsid w:val="00D80E5E"/>
    <w:rsid w:val="00D80F07"/>
    <w:rsid w:val="00D81019"/>
    <w:rsid w:val="00D81405"/>
    <w:rsid w:val="00D814AF"/>
    <w:rsid w:val="00D81826"/>
    <w:rsid w:val="00D8197D"/>
    <w:rsid w:val="00D81E87"/>
    <w:rsid w:val="00D821CA"/>
    <w:rsid w:val="00D82268"/>
    <w:rsid w:val="00D822F3"/>
    <w:rsid w:val="00D826CF"/>
    <w:rsid w:val="00D826D4"/>
    <w:rsid w:val="00D82A21"/>
    <w:rsid w:val="00D82A22"/>
    <w:rsid w:val="00D82FB7"/>
    <w:rsid w:val="00D83263"/>
    <w:rsid w:val="00D83388"/>
    <w:rsid w:val="00D833B3"/>
    <w:rsid w:val="00D83D85"/>
    <w:rsid w:val="00D83FA5"/>
    <w:rsid w:val="00D8416F"/>
    <w:rsid w:val="00D84757"/>
    <w:rsid w:val="00D851A6"/>
    <w:rsid w:val="00D85245"/>
    <w:rsid w:val="00D852AD"/>
    <w:rsid w:val="00D852CF"/>
    <w:rsid w:val="00D8531C"/>
    <w:rsid w:val="00D8558E"/>
    <w:rsid w:val="00D856BC"/>
    <w:rsid w:val="00D8598E"/>
    <w:rsid w:val="00D85D3D"/>
    <w:rsid w:val="00D85F65"/>
    <w:rsid w:val="00D86000"/>
    <w:rsid w:val="00D8615D"/>
    <w:rsid w:val="00D8657F"/>
    <w:rsid w:val="00D866CE"/>
    <w:rsid w:val="00D867FF"/>
    <w:rsid w:val="00D86960"/>
    <w:rsid w:val="00D87178"/>
    <w:rsid w:val="00D87247"/>
    <w:rsid w:val="00D873A7"/>
    <w:rsid w:val="00D874DE"/>
    <w:rsid w:val="00D87519"/>
    <w:rsid w:val="00D87641"/>
    <w:rsid w:val="00D87A1A"/>
    <w:rsid w:val="00D87A74"/>
    <w:rsid w:val="00D87C50"/>
    <w:rsid w:val="00D900FE"/>
    <w:rsid w:val="00D902CA"/>
    <w:rsid w:val="00D90357"/>
    <w:rsid w:val="00D905CF"/>
    <w:rsid w:val="00D9094D"/>
    <w:rsid w:val="00D90983"/>
    <w:rsid w:val="00D90A1E"/>
    <w:rsid w:val="00D90D45"/>
    <w:rsid w:val="00D90DE4"/>
    <w:rsid w:val="00D90EAD"/>
    <w:rsid w:val="00D91063"/>
    <w:rsid w:val="00D9121E"/>
    <w:rsid w:val="00D9154E"/>
    <w:rsid w:val="00D9197B"/>
    <w:rsid w:val="00D91B99"/>
    <w:rsid w:val="00D91E64"/>
    <w:rsid w:val="00D92095"/>
    <w:rsid w:val="00D92189"/>
    <w:rsid w:val="00D921E6"/>
    <w:rsid w:val="00D9240A"/>
    <w:rsid w:val="00D92639"/>
    <w:rsid w:val="00D928FF"/>
    <w:rsid w:val="00D92B36"/>
    <w:rsid w:val="00D92B99"/>
    <w:rsid w:val="00D92C1D"/>
    <w:rsid w:val="00D92D97"/>
    <w:rsid w:val="00D92EFD"/>
    <w:rsid w:val="00D930F4"/>
    <w:rsid w:val="00D931FE"/>
    <w:rsid w:val="00D93262"/>
    <w:rsid w:val="00D9327F"/>
    <w:rsid w:val="00D93628"/>
    <w:rsid w:val="00D937ED"/>
    <w:rsid w:val="00D938FA"/>
    <w:rsid w:val="00D93A14"/>
    <w:rsid w:val="00D93A1C"/>
    <w:rsid w:val="00D93B34"/>
    <w:rsid w:val="00D93B77"/>
    <w:rsid w:val="00D93EFC"/>
    <w:rsid w:val="00D93FA3"/>
    <w:rsid w:val="00D94095"/>
    <w:rsid w:val="00D94215"/>
    <w:rsid w:val="00D94301"/>
    <w:rsid w:val="00D948B8"/>
    <w:rsid w:val="00D94A3E"/>
    <w:rsid w:val="00D94E97"/>
    <w:rsid w:val="00D9501C"/>
    <w:rsid w:val="00D95096"/>
    <w:rsid w:val="00D9543D"/>
    <w:rsid w:val="00D9569F"/>
    <w:rsid w:val="00D958C8"/>
    <w:rsid w:val="00D95E73"/>
    <w:rsid w:val="00D95F93"/>
    <w:rsid w:val="00D95FB8"/>
    <w:rsid w:val="00D96022"/>
    <w:rsid w:val="00D960C8"/>
    <w:rsid w:val="00D96167"/>
    <w:rsid w:val="00D96423"/>
    <w:rsid w:val="00D9645C"/>
    <w:rsid w:val="00D96539"/>
    <w:rsid w:val="00D966AE"/>
    <w:rsid w:val="00D96AA1"/>
    <w:rsid w:val="00D96F10"/>
    <w:rsid w:val="00D97051"/>
    <w:rsid w:val="00D97155"/>
    <w:rsid w:val="00D974DD"/>
    <w:rsid w:val="00D976C6"/>
    <w:rsid w:val="00D97864"/>
    <w:rsid w:val="00D978B8"/>
    <w:rsid w:val="00D978ED"/>
    <w:rsid w:val="00D979C5"/>
    <w:rsid w:val="00D97C1E"/>
    <w:rsid w:val="00DA021A"/>
    <w:rsid w:val="00DA0598"/>
    <w:rsid w:val="00DA0947"/>
    <w:rsid w:val="00DA0D6C"/>
    <w:rsid w:val="00DA0FC5"/>
    <w:rsid w:val="00DA1032"/>
    <w:rsid w:val="00DA148F"/>
    <w:rsid w:val="00DA1655"/>
    <w:rsid w:val="00DA1879"/>
    <w:rsid w:val="00DA189D"/>
    <w:rsid w:val="00DA1B71"/>
    <w:rsid w:val="00DA1BEA"/>
    <w:rsid w:val="00DA1FA1"/>
    <w:rsid w:val="00DA21DA"/>
    <w:rsid w:val="00DA2358"/>
    <w:rsid w:val="00DA278A"/>
    <w:rsid w:val="00DA2CD8"/>
    <w:rsid w:val="00DA308B"/>
    <w:rsid w:val="00DA30E0"/>
    <w:rsid w:val="00DA339F"/>
    <w:rsid w:val="00DA3472"/>
    <w:rsid w:val="00DA3661"/>
    <w:rsid w:val="00DA366B"/>
    <w:rsid w:val="00DA36F1"/>
    <w:rsid w:val="00DA3895"/>
    <w:rsid w:val="00DA3B77"/>
    <w:rsid w:val="00DA4206"/>
    <w:rsid w:val="00DA4461"/>
    <w:rsid w:val="00DA4525"/>
    <w:rsid w:val="00DA4788"/>
    <w:rsid w:val="00DA5128"/>
    <w:rsid w:val="00DA51C0"/>
    <w:rsid w:val="00DA532C"/>
    <w:rsid w:val="00DA5625"/>
    <w:rsid w:val="00DA564B"/>
    <w:rsid w:val="00DA566B"/>
    <w:rsid w:val="00DA57C6"/>
    <w:rsid w:val="00DA5E32"/>
    <w:rsid w:val="00DA5F7B"/>
    <w:rsid w:val="00DA6193"/>
    <w:rsid w:val="00DA67AD"/>
    <w:rsid w:val="00DA69ED"/>
    <w:rsid w:val="00DA6AB6"/>
    <w:rsid w:val="00DA6B5D"/>
    <w:rsid w:val="00DA77BA"/>
    <w:rsid w:val="00DA78E5"/>
    <w:rsid w:val="00DAC621"/>
    <w:rsid w:val="00DB00C8"/>
    <w:rsid w:val="00DB0910"/>
    <w:rsid w:val="00DB0BDB"/>
    <w:rsid w:val="00DB0DFF"/>
    <w:rsid w:val="00DB0F34"/>
    <w:rsid w:val="00DB1339"/>
    <w:rsid w:val="00DB1340"/>
    <w:rsid w:val="00DB1482"/>
    <w:rsid w:val="00DB15F3"/>
    <w:rsid w:val="00DB16D0"/>
    <w:rsid w:val="00DB1A2E"/>
    <w:rsid w:val="00DB1F4B"/>
    <w:rsid w:val="00DB209C"/>
    <w:rsid w:val="00DB2135"/>
    <w:rsid w:val="00DB2224"/>
    <w:rsid w:val="00DB2261"/>
    <w:rsid w:val="00DB2374"/>
    <w:rsid w:val="00DB243A"/>
    <w:rsid w:val="00DB244A"/>
    <w:rsid w:val="00DB29D1"/>
    <w:rsid w:val="00DB2CA0"/>
    <w:rsid w:val="00DB2D70"/>
    <w:rsid w:val="00DB2F5A"/>
    <w:rsid w:val="00DB3102"/>
    <w:rsid w:val="00DB3521"/>
    <w:rsid w:val="00DB356E"/>
    <w:rsid w:val="00DB35C6"/>
    <w:rsid w:val="00DB3793"/>
    <w:rsid w:val="00DB3ADB"/>
    <w:rsid w:val="00DB3AEC"/>
    <w:rsid w:val="00DB3B7E"/>
    <w:rsid w:val="00DB3BCA"/>
    <w:rsid w:val="00DB3CE7"/>
    <w:rsid w:val="00DB3D2D"/>
    <w:rsid w:val="00DB3F93"/>
    <w:rsid w:val="00DB4586"/>
    <w:rsid w:val="00DB4623"/>
    <w:rsid w:val="00DB47E8"/>
    <w:rsid w:val="00DB4821"/>
    <w:rsid w:val="00DB4AE7"/>
    <w:rsid w:val="00DB4B28"/>
    <w:rsid w:val="00DB4BD1"/>
    <w:rsid w:val="00DB4BF1"/>
    <w:rsid w:val="00DB4C0E"/>
    <w:rsid w:val="00DB5497"/>
    <w:rsid w:val="00DB55A2"/>
    <w:rsid w:val="00DB561B"/>
    <w:rsid w:val="00DB57F7"/>
    <w:rsid w:val="00DB5948"/>
    <w:rsid w:val="00DB5B3D"/>
    <w:rsid w:val="00DB5C44"/>
    <w:rsid w:val="00DB5CBE"/>
    <w:rsid w:val="00DB6416"/>
    <w:rsid w:val="00DB6526"/>
    <w:rsid w:val="00DB6590"/>
    <w:rsid w:val="00DB65C5"/>
    <w:rsid w:val="00DB6958"/>
    <w:rsid w:val="00DB6986"/>
    <w:rsid w:val="00DB69DE"/>
    <w:rsid w:val="00DB6A40"/>
    <w:rsid w:val="00DB6A5E"/>
    <w:rsid w:val="00DB6BB9"/>
    <w:rsid w:val="00DB6E5B"/>
    <w:rsid w:val="00DB700C"/>
    <w:rsid w:val="00DB70A4"/>
    <w:rsid w:val="00DB717F"/>
    <w:rsid w:val="00DB7180"/>
    <w:rsid w:val="00DB71AF"/>
    <w:rsid w:val="00DB71FD"/>
    <w:rsid w:val="00DB7398"/>
    <w:rsid w:val="00DB743F"/>
    <w:rsid w:val="00DB7995"/>
    <w:rsid w:val="00DB79D9"/>
    <w:rsid w:val="00DB7B1E"/>
    <w:rsid w:val="00DC03D4"/>
    <w:rsid w:val="00DC0905"/>
    <w:rsid w:val="00DC0DA8"/>
    <w:rsid w:val="00DC0E61"/>
    <w:rsid w:val="00DC1302"/>
    <w:rsid w:val="00DC1746"/>
    <w:rsid w:val="00DC18ED"/>
    <w:rsid w:val="00DC1B72"/>
    <w:rsid w:val="00DC1F6A"/>
    <w:rsid w:val="00DC20A9"/>
    <w:rsid w:val="00DC2230"/>
    <w:rsid w:val="00DC22C1"/>
    <w:rsid w:val="00DC23C5"/>
    <w:rsid w:val="00DC252D"/>
    <w:rsid w:val="00DC286A"/>
    <w:rsid w:val="00DC2965"/>
    <w:rsid w:val="00DC2A67"/>
    <w:rsid w:val="00DC2AA1"/>
    <w:rsid w:val="00DC2CDE"/>
    <w:rsid w:val="00DC2F26"/>
    <w:rsid w:val="00DC308A"/>
    <w:rsid w:val="00DC32BD"/>
    <w:rsid w:val="00DC33E3"/>
    <w:rsid w:val="00DC38BE"/>
    <w:rsid w:val="00DC38CE"/>
    <w:rsid w:val="00DC38EA"/>
    <w:rsid w:val="00DC38EF"/>
    <w:rsid w:val="00DC3A84"/>
    <w:rsid w:val="00DC3B53"/>
    <w:rsid w:val="00DC3D62"/>
    <w:rsid w:val="00DC3E8C"/>
    <w:rsid w:val="00DC40C3"/>
    <w:rsid w:val="00DC453B"/>
    <w:rsid w:val="00DC46D7"/>
    <w:rsid w:val="00DC49DB"/>
    <w:rsid w:val="00DC4F72"/>
    <w:rsid w:val="00DC5190"/>
    <w:rsid w:val="00DC5191"/>
    <w:rsid w:val="00DC537B"/>
    <w:rsid w:val="00DC5410"/>
    <w:rsid w:val="00DC541A"/>
    <w:rsid w:val="00DC54A5"/>
    <w:rsid w:val="00DC5952"/>
    <w:rsid w:val="00DC5D3B"/>
    <w:rsid w:val="00DC612D"/>
    <w:rsid w:val="00DC632A"/>
    <w:rsid w:val="00DC66A7"/>
    <w:rsid w:val="00DC6DFB"/>
    <w:rsid w:val="00DC6ED3"/>
    <w:rsid w:val="00DC71AD"/>
    <w:rsid w:val="00DC7436"/>
    <w:rsid w:val="00DC756B"/>
    <w:rsid w:val="00DC7620"/>
    <w:rsid w:val="00DC7A20"/>
    <w:rsid w:val="00DC7A9F"/>
    <w:rsid w:val="00DC7B74"/>
    <w:rsid w:val="00DC7CF8"/>
    <w:rsid w:val="00DC7D01"/>
    <w:rsid w:val="00DC7DC1"/>
    <w:rsid w:val="00DD077B"/>
    <w:rsid w:val="00DD0DBE"/>
    <w:rsid w:val="00DD1322"/>
    <w:rsid w:val="00DD13CE"/>
    <w:rsid w:val="00DD1661"/>
    <w:rsid w:val="00DD188E"/>
    <w:rsid w:val="00DD1958"/>
    <w:rsid w:val="00DD1A8C"/>
    <w:rsid w:val="00DD1B9F"/>
    <w:rsid w:val="00DD1C3F"/>
    <w:rsid w:val="00DD1EF8"/>
    <w:rsid w:val="00DD2128"/>
    <w:rsid w:val="00DD218A"/>
    <w:rsid w:val="00DD22B0"/>
    <w:rsid w:val="00DD23CB"/>
    <w:rsid w:val="00DD2E60"/>
    <w:rsid w:val="00DD30E5"/>
    <w:rsid w:val="00DD318A"/>
    <w:rsid w:val="00DD31F9"/>
    <w:rsid w:val="00DD334A"/>
    <w:rsid w:val="00DD340C"/>
    <w:rsid w:val="00DD340F"/>
    <w:rsid w:val="00DD3431"/>
    <w:rsid w:val="00DD3704"/>
    <w:rsid w:val="00DD3A54"/>
    <w:rsid w:val="00DD3A66"/>
    <w:rsid w:val="00DD3CA6"/>
    <w:rsid w:val="00DD4034"/>
    <w:rsid w:val="00DD4219"/>
    <w:rsid w:val="00DD438E"/>
    <w:rsid w:val="00DD441C"/>
    <w:rsid w:val="00DD456D"/>
    <w:rsid w:val="00DD4690"/>
    <w:rsid w:val="00DD471E"/>
    <w:rsid w:val="00DD4780"/>
    <w:rsid w:val="00DD4A61"/>
    <w:rsid w:val="00DD4C7A"/>
    <w:rsid w:val="00DD4E59"/>
    <w:rsid w:val="00DD50F4"/>
    <w:rsid w:val="00DD5113"/>
    <w:rsid w:val="00DD519C"/>
    <w:rsid w:val="00DD5219"/>
    <w:rsid w:val="00DD52EC"/>
    <w:rsid w:val="00DD5363"/>
    <w:rsid w:val="00DD54A1"/>
    <w:rsid w:val="00DD57B0"/>
    <w:rsid w:val="00DD5AB4"/>
    <w:rsid w:val="00DD5AFC"/>
    <w:rsid w:val="00DD5B43"/>
    <w:rsid w:val="00DD5E34"/>
    <w:rsid w:val="00DD6024"/>
    <w:rsid w:val="00DD6056"/>
    <w:rsid w:val="00DD6082"/>
    <w:rsid w:val="00DD66EC"/>
    <w:rsid w:val="00DD67DF"/>
    <w:rsid w:val="00DD68F2"/>
    <w:rsid w:val="00DD69AB"/>
    <w:rsid w:val="00DD69C3"/>
    <w:rsid w:val="00DD6CEE"/>
    <w:rsid w:val="00DD713D"/>
    <w:rsid w:val="00DD71DF"/>
    <w:rsid w:val="00DD72F1"/>
    <w:rsid w:val="00DD7623"/>
    <w:rsid w:val="00DD7ABB"/>
    <w:rsid w:val="00DD7CE6"/>
    <w:rsid w:val="00DE02A8"/>
    <w:rsid w:val="00DE0387"/>
    <w:rsid w:val="00DE0434"/>
    <w:rsid w:val="00DE062B"/>
    <w:rsid w:val="00DE063E"/>
    <w:rsid w:val="00DE0685"/>
    <w:rsid w:val="00DE079B"/>
    <w:rsid w:val="00DE07B4"/>
    <w:rsid w:val="00DE0896"/>
    <w:rsid w:val="00DE0EAF"/>
    <w:rsid w:val="00DE0F5B"/>
    <w:rsid w:val="00DE1336"/>
    <w:rsid w:val="00DE134B"/>
    <w:rsid w:val="00DE1665"/>
    <w:rsid w:val="00DE17BF"/>
    <w:rsid w:val="00DE1831"/>
    <w:rsid w:val="00DE198F"/>
    <w:rsid w:val="00DE2077"/>
    <w:rsid w:val="00DE22AB"/>
    <w:rsid w:val="00DE24D2"/>
    <w:rsid w:val="00DE2CD0"/>
    <w:rsid w:val="00DE3306"/>
    <w:rsid w:val="00DE3351"/>
    <w:rsid w:val="00DE34BA"/>
    <w:rsid w:val="00DE3549"/>
    <w:rsid w:val="00DE3555"/>
    <w:rsid w:val="00DE3704"/>
    <w:rsid w:val="00DE3B39"/>
    <w:rsid w:val="00DE3B6A"/>
    <w:rsid w:val="00DE3D23"/>
    <w:rsid w:val="00DE3D2D"/>
    <w:rsid w:val="00DE3E34"/>
    <w:rsid w:val="00DE3EC7"/>
    <w:rsid w:val="00DE3EE8"/>
    <w:rsid w:val="00DE3F5B"/>
    <w:rsid w:val="00DE41BF"/>
    <w:rsid w:val="00DE4206"/>
    <w:rsid w:val="00DE4290"/>
    <w:rsid w:val="00DE4376"/>
    <w:rsid w:val="00DE4539"/>
    <w:rsid w:val="00DE46EC"/>
    <w:rsid w:val="00DE4811"/>
    <w:rsid w:val="00DE48F1"/>
    <w:rsid w:val="00DE4913"/>
    <w:rsid w:val="00DE4956"/>
    <w:rsid w:val="00DE4977"/>
    <w:rsid w:val="00DE4D1E"/>
    <w:rsid w:val="00DE4D4B"/>
    <w:rsid w:val="00DE4DB4"/>
    <w:rsid w:val="00DE4E6A"/>
    <w:rsid w:val="00DE4FDE"/>
    <w:rsid w:val="00DE50A2"/>
    <w:rsid w:val="00DE521C"/>
    <w:rsid w:val="00DE5279"/>
    <w:rsid w:val="00DE5AAE"/>
    <w:rsid w:val="00DE5C2A"/>
    <w:rsid w:val="00DE5CC0"/>
    <w:rsid w:val="00DE5ED7"/>
    <w:rsid w:val="00DE613B"/>
    <w:rsid w:val="00DE68B8"/>
    <w:rsid w:val="00DE6A73"/>
    <w:rsid w:val="00DE6C2E"/>
    <w:rsid w:val="00DE6C92"/>
    <w:rsid w:val="00DE6E1E"/>
    <w:rsid w:val="00DE6E94"/>
    <w:rsid w:val="00DE7042"/>
    <w:rsid w:val="00DE70C4"/>
    <w:rsid w:val="00DE7453"/>
    <w:rsid w:val="00DE750E"/>
    <w:rsid w:val="00DE77F5"/>
    <w:rsid w:val="00DE795A"/>
    <w:rsid w:val="00DE7A9B"/>
    <w:rsid w:val="00DE7B2A"/>
    <w:rsid w:val="00DE7C27"/>
    <w:rsid w:val="00DE7D8E"/>
    <w:rsid w:val="00DE7DD8"/>
    <w:rsid w:val="00DE7E04"/>
    <w:rsid w:val="00DF0027"/>
    <w:rsid w:val="00DF05ED"/>
    <w:rsid w:val="00DF0695"/>
    <w:rsid w:val="00DF07B2"/>
    <w:rsid w:val="00DF0A00"/>
    <w:rsid w:val="00DF0A0F"/>
    <w:rsid w:val="00DF0B4A"/>
    <w:rsid w:val="00DF0C08"/>
    <w:rsid w:val="00DF151E"/>
    <w:rsid w:val="00DF15FB"/>
    <w:rsid w:val="00DF1650"/>
    <w:rsid w:val="00DF166D"/>
    <w:rsid w:val="00DF1707"/>
    <w:rsid w:val="00DF1781"/>
    <w:rsid w:val="00DF19AD"/>
    <w:rsid w:val="00DF1C29"/>
    <w:rsid w:val="00DF1DC8"/>
    <w:rsid w:val="00DF22D4"/>
    <w:rsid w:val="00DF22FD"/>
    <w:rsid w:val="00DF2667"/>
    <w:rsid w:val="00DF28A7"/>
    <w:rsid w:val="00DF2921"/>
    <w:rsid w:val="00DF2BE8"/>
    <w:rsid w:val="00DF2D22"/>
    <w:rsid w:val="00DF323B"/>
    <w:rsid w:val="00DF37C1"/>
    <w:rsid w:val="00DF37FB"/>
    <w:rsid w:val="00DF3CDE"/>
    <w:rsid w:val="00DF3F7A"/>
    <w:rsid w:val="00DF4516"/>
    <w:rsid w:val="00DF499D"/>
    <w:rsid w:val="00DF4BB5"/>
    <w:rsid w:val="00DF4C82"/>
    <w:rsid w:val="00DF4F5B"/>
    <w:rsid w:val="00DF4FB4"/>
    <w:rsid w:val="00DF5281"/>
    <w:rsid w:val="00DF5910"/>
    <w:rsid w:val="00DF59E9"/>
    <w:rsid w:val="00DF5BA0"/>
    <w:rsid w:val="00DF5C84"/>
    <w:rsid w:val="00DF5F04"/>
    <w:rsid w:val="00DF5F51"/>
    <w:rsid w:val="00DF6BBC"/>
    <w:rsid w:val="00DF6C57"/>
    <w:rsid w:val="00DF6D77"/>
    <w:rsid w:val="00DF6DB0"/>
    <w:rsid w:val="00DF70DC"/>
    <w:rsid w:val="00DF735D"/>
    <w:rsid w:val="00DF75C8"/>
    <w:rsid w:val="00DF76DA"/>
    <w:rsid w:val="00DF7AB2"/>
    <w:rsid w:val="00DF7BA8"/>
    <w:rsid w:val="00DF7C4D"/>
    <w:rsid w:val="00E00002"/>
    <w:rsid w:val="00E0008C"/>
    <w:rsid w:val="00E00170"/>
    <w:rsid w:val="00E001C6"/>
    <w:rsid w:val="00E002B4"/>
    <w:rsid w:val="00E004B1"/>
    <w:rsid w:val="00E0050B"/>
    <w:rsid w:val="00E00A6C"/>
    <w:rsid w:val="00E00E52"/>
    <w:rsid w:val="00E014D2"/>
    <w:rsid w:val="00E014EC"/>
    <w:rsid w:val="00E0161E"/>
    <w:rsid w:val="00E017E1"/>
    <w:rsid w:val="00E01D16"/>
    <w:rsid w:val="00E0203D"/>
    <w:rsid w:val="00E02091"/>
    <w:rsid w:val="00E0222F"/>
    <w:rsid w:val="00E02412"/>
    <w:rsid w:val="00E027E0"/>
    <w:rsid w:val="00E0282F"/>
    <w:rsid w:val="00E02A40"/>
    <w:rsid w:val="00E02AE0"/>
    <w:rsid w:val="00E02BD1"/>
    <w:rsid w:val="00E032F3"/>
    <w:rsid w:val="00E03607"/>
    <w:rsid w:val="00E038C0"/>
    <w:rsid w:val="00E03972"/>
    <w:rsid w:val="00E039A0"/>
    <w:rsid w:val="00E03A6C"/>
    <w:rsid w:val="00E03A75"/>
    <w:rsid w:val="00E03B69"/>
    <w:rsid w:val="00E03C4D"/>
    <w:rsid w:val="00E03CF1"/>
    <w:rsid w:val="00E03F15"/>
    <w:rsid w:val="00E03FD3"/>
    <w:rsid w:val="00E04145"/>
    <w:rsid w:val="00E042A9"/>
    <w:rsid w:val="00E04491"/>
    <w:rsid w:val="00E04615"/>
    <w:rsid w:val="00E04628"/>
    <w:rsid w:val="00E0463F"/>
    <w:rsid w:val="00E0476F"/>
    <w:rsid w:val="00E04892"/>
    <w:rsid w:val="00E0490A"/>
    <w:rsid w:val="00E04DCB"/>
    <w:rsid w:val="00E05101"/>
    <w:rsid w:val="00E0515C"/>
    <w:rsid w:val="00E05185"/>
    <w:rsid w:val="00E054BA"/>
    <w:rsid w:val="00E05741"/>
    <w:rsid w:val="00E05851"/>
    <w:rsid w:val="00E05B93"/>
    <w:rsid w:val="00E05CD7"/>
    <w:rsid w:val="00E05EFB"/>
    <w:rsid w:val="00E06208"/>
    <w:rsid w:val="00E063BB"/>
    <w:rsid w:val="00E066CF"/>
    <w:rsid w:val="00E06707"/>
    <w:rsid w:val="00E0693A"/>
    <w:rsid w:val="00E06A2B"/>
    <w:rsid w:val="00E06C36"/>
    <w:rsid w:val="00E06C6F"/>
    <w:rsid w:val="00E07252"/>
    <w:rsid w:val="00E074C9"/>
    <w:rsid w:val="00E076E9"/>
    <w:rsid w:val="00E07920"/>
    <w:rsid w:val="00E0792D"/>
    <w:rsid w:val="00E079C3"/>
    <w:rsid w:val="00E07BC5"/>
    <w:rsid w:val="00E07CBD"/>
    <w:rsid w:val="00E1038C"/>
    <w:rsid w:val="00E103BF"/>
    <w:rsid w:val="00E106C9"/>
    <w:rsid w:val="00E10832"/>
    <w:rsid w:val="00E1098C"/>
    <w:rsid w:val="00E10AFE"/>
    <w:rsid w:val="00E10CF1"/>
    <w:rsid w:val="00E10FE2"/>
    <w:rsid w:val="00E110A1"/>
    <w:rsid w:val="00E110FE"/>
    <w:rsid w:val="00E112A0"/>
    <w:rsid w:val="00E117C5"/>
    <w:rsid w:val="00E1195A"/>
    <w:rsid w:val="00E119AB"/>
    <w:rsid w:val="00E12269"/>
    <w:rsid w:val="00E1258A"/>
    <w:rsid w:val="00E12690"/>
    <w:rsid w:val="00E127F4"/>
    <w:rsid w:val="00E1283E"/>
    <w:rsid w:val="00E12881"/>
    <w:rsid w:val="00E1295F"/>
    <w:rsid w:val="00E12B3A"/>
    <w:rsid w:val="00E12BF9"/>
    <w:rsid w:val="00E12D01"/>
    <w:rsid w:val="00E13567"/>
    <w:rsid w:val="00E1359E"/>
    <w:rsid w:val="00E13EB0"/>
    <w:rsid w:val="00E13F70"/>
    <w:rsid w:val="00E142FA"/>
    <w:rsid w:val="00E146F2"/>
    <w:rsid w:val="00E14B54"/>
    <w:rsid w:val="00E14BEB"/>
    <w:rsid w:val="00E14C07"/>
    <w:rsid w:val="00E14CE0"/>
    <w:rsid w:val="00E14F47"/>
    <w:rsid w:val="00E153EA"/>
    <w:rsid w:val="00E15402"/>
    <w:rsid w:val="00E15441"/>
    <w:rsid w:val="00E155FE"/>
    <w:rsid w:val="00E157B5"/>
    <w:rsid w:val="00E15BC7"/>
    <w:rsid w:val="00E161AB"/>
    <w:rsid w:val="00E162AC"/>
    <w:rsid w:val="00E16857"/>
    <w:rsid w:val="00E168AA"/>
    <w:rsid w:val="00E1696A"/>
    <w:rsid w:val="00E16B19"/>
    <w:rsid w:val="00E16EE6"/>
    <w:rsid w:val="00E16EEF"/>
    <w:rsid w:val="00E1734B"/>
    <w:rsid w:val="00E173BF"/>
    <w:rsid w:val="00E177BC"/>
    <w:rsid w:val="00E17B73"/>
    <w:rsid w:val="00E17D53"/>
    <w:rsid w:val="00E17D64"/>
    <w:rsid w:val="00E17F34"/>
    <w:rsid w:val="00E201D5"/>
    <w:rsid w:val="00E2027D"/>
    <w:rsid w:val="00E203CB"/>
    <w:rsid w:val="00E205E3"/>
    <w:rsid w:val="00E20F24"/>
    <w:rsid w:val="00E2104D"/>
    <w:rsid w:val="00E21129"/>
    <w:rsid w:val="00E2122A"/>
    <w:rsid w:val="00E213B4"/>
    <w:rsid w:val="00E213D1"/>
    <w:rsid w:val="00E214DD"/>
    <w:rsid w:val="00E21536"/>
    <w:rsid w:val="00E2188F"/>
    <w:rsid w:val="00E219A2"/>
    <w:rsid w:val="00E21E37"/>
    <w:rsid w:val="00E21F79"/>
    <w:rsid w:val="00E22F06"/>
    <w:rsid w:val="00E22F8F"/>
    <w:rsid w:val="00E23315"/>
    <w:rsid w:val="00E233C5"/>
    <w:rsid w:val="00E236C3"/>
    <w:rsid w:val="00E23764"/>
    <w:rsid w:val="00E2377D"/>
    <w:rsid w:val="00E239B9"/>
    <w:rsid w:val="00E23A35"/>
    <w:rsid w:val="00E23E09"/>
    <w:rsid w:val="00E23EE4"/>
    <w:rsid w:val="00E23EF2"/>
    <w:rsid w:val="00E24063"/>
    <w:rsid w:val="00E2438C"/>
    <w:rsid w:val="00E24AD8"/>
    <w:rsid w:val="00E24AF1"/>
    <w:rsid w:val="00E24BA0"/>
    <w:rsid w:val="00E25355"/>
    <w:rsid w:val="00E2547D"/>
    <w:rsid w:val="00E255BD"/>
    <w:rsid w:val="00E25603"/>
    <w:rsid w:val="00E2560E"/>
    <w:rsid w:val="00E25B3C"/>
    <w:rsid w:val="00E25BE5"/>
    <w:rsid w:val="00E25E58"/>
    <w:rsid w:val="00E26171"/>
    <w:rsid w:val="00E261B0"/>
    <w:rsid w:val="00E2654E"/>
    <w:rsid w:val="00E2663F"/>
    <w:rsid w:val="00E266DA"/>
    <w:rsid w:val="00E26717"/>
    <w:rsid w:val="00E26882"/>
    <w:rsid w:val="00E26992"/>
    <w:rsid w:val="00E269A0"/>
    <w:rsid w:val="00E269F2"/>
    <w:rsid w:val="00E26DF3"/>
    <w:rsid w:val="00E27323"/>
    <w:rsid w:val="00E27696"/>
    <w:rsid w:val="00E27B49"/>
    <w:rsid w:val="00E27C33"/>
    <w:rsid w:val="00E27D23"/>
    <w:rsid w:val="00E27DBD"/>
    <w:rsid w:val="00E27FE9"/>
    <w:rsid w:val="00E30054"/>
    <w:rsid w:val="00E30167"/>
    <w:rsid w:val="00E301F7"/>
    <w:rsid w:val="00E3020A"/>
    <w:rsid w:val="00E304C8"/>
    <w:rsid w:val="00E30739"/>
    <w:rsid w:val="00E30837"/>
    <w:rsid w:val="00E30B7D"/>
    <w:rsid w:val="00E30BD0"/>
    <w:rsid w:val="00E30C3E"/>
    <w:rsid w:val="00E30D80"/>
    <w:rsid w:val="00E31040"/>
    <w:rsid w:val="00E310AD"/>
    <w:rsid w:val="00E312E9"/>
    <w:rsid w:val="00E31C60"/>
    <w:rsid w:val="00E31EBA"/>
    <w:rsid w:val="00E31EF7"/>
    <w:rsid w:val="00E3212B"/>
    <w:rsid w:val="00E321D6"/>
    <w:rsid w:val="00E3227C"/>
    <w:rsid w:val="00E324A1"/>
    <w:rsid w:val="00E325B1"/>
    <w:rsid w:val="00E32625"/>
    <w:rsid w:val="00E3273B"/>
    <w:rsid w:val="00E327C3"/>
    <w:rsid w:val="00E32A9C"/>
    <w:rsid w:val="00E32B14"/>
    <w:rsid w:val="00E32DAC"/>
    <w:rsid w:val="00E32DB2"/>
    <w:rsid w:val="00E32DC0"/>
    <w:rsid w:val="00E32E59"/>
    <w:rsid w:val="00E33020"/>
    <w:rsid w:val="00E33058"/>
    <w:rsid w:val="00E332D9"/>
    <w:rsid w:val="00E33455"/>
    <w:rsid w:val="00E335A7"/>
    <w:rsid w:val="00E336EC"/>
    <w:rsid w:val="00E33978"/>
    <w:rsid w:val="00E33A1F"/>
    <w:rsid w:val="00E33D56"/>
    <w:rsid w:val="00E33D62"/>
    <w:rsid w:val="00E33EC1"/>
    <w:rsid w:val="00E34226"/>
    <w:rsid w:val="00E34321"/>
    <w:rsid w:val="00E348AC"/>
    <w:rsid w:val="00E348BF"/>
    <w:rsid w:val="00E348E3"/>
    <w:rsid w:val="00E349BB"/>
    <w:rsid w:val="00E34A74"/>
    <w:rsid w:val="00E34E49"/>
    <w:rsid w:val="00E34F11"/>
    <w:rsid w:val="00E34FA3"/>
    <w:rsid w:val="00E3538A"/>
    <w:rsid w:val="00E3544E"/>
    <w:rsid w:val="00E35741"/>
    <w:rsid w:val="00E35ACF"/>
    <w:rsid w:val="00E35CB3"/>
    <w:rsid w:val="00E35D17"/>
    <w:rsid w:val="00E35EE9"/>
    <w:rsid w:val="00E36A9B"/>
    <w:rsid w:val="00E36B4A"/>
    <w:rsid w:val="00E36F3C"/>
    <w:rsid w:val="00E3711E"/>
    <w:rsid w:val="00E37175"/>
    <w:rsid w:val="00E37228"/>
    <w:rsid w:val="00E372E2"/>
    <w:rsid w:val="00E37757"/>
    <w:rsid w:val="00E377AC"/>
    <w:rsid w:val="00E37B24"/>
    <w:rsid w:val="00E37CF8"/>
    <w:rsid w:val="00E402DE"/>
    <w:rsid w:val="00E406FB"/>
    <w:rsid w:val="00E4105C"/>
    <w:rsid w:val="00E411F5"/>
    <w:rsid w:val="00E413CB"/>
    <w:rsid w:val="00E413E7"/>
    <w:rsid w:val="00E414A0"/>
    <w:rsid w:val="00E417C1"/>
    <w:rsid w:val="00E41C03"/>
    <w:rsid w:val="00E41DB6"/>
    <w:rsid w:val="00E4208A"/>
    <w:rsid w:val="00E42370"/>
    <w:rsid w:val="00E42841"/>
    <w:rsid w:val="00E429E2"/>
    <w:rsid w:val="00E42BD0"/>
    <w:rsid w:val="00E42E29"/>
    <w:rsid w:val="00E430FB"/>
    <w:rsid w:val="00E4338A"/>
    <w:rsid w:val="00E436D1"/>
    <w:rsid w:val="00E43762"/>
    <w:rsid w:val="00E438A4"/>
    <w:rsid w:val="00E43E37"/>
    <w:rsid w:val="00E43F51"/>
    <w:rsid w:val="00E44119"/>
    <w:rsid w:val="00E44336"/>
    <w:rsid w:val="00E44451"/>
    <w:rsid w:val="00E447F6"/>
    <w:rsid w:val="00E448A8"/>
    <w:rsid w:val="00E44C08"/>
    <w:rsid w:val="00E44C09"/>
    <w:rsid w:val="00E44D03"/>
    <w:rsid w:val="00E44DBC"/>
    <w:rsid w:val="00E45155"/>
    <w:rsid w:val="00E451AA"/>
    <w:rsid w:val="00E454A0"/>
    <w:rsid w:val="00E455F8"/>
    <w:rsid w:val="00E45A61"/>
    <w:rsid w:val="00E45F61"/>
    <w:rsid w:val="00E46922"/>
    <w:rsid w:val="00E469A4"/>
    <w:rsid w:val="00E47278"/>
    <w:rsid w:val="00E4732B"/>
    <w:rsid w:val="00E4754F"/>
    <w:rsid w:val="00E476BD"/>
    <w:rsid w:val="00E4772F"/>
    <w:rsid w:val="00E477A8"/>
    <w:rsid w:val="00E478E9"/>
    <w:rsid w:val="00E47C11"/>
    <w:rsid w:val="00E505B0"/>
    <w:rsid w:val="00E509A4"/>
    <w:rsid w:val="00E50E98"/>
    <w:rsid w:val="00E50EBC"/>
    <w:rsid w:val="00E50F6A"/>
    <w:rsid w:val="00E51704"/>
    <w:rsid w:val="00E51C2E"/>
    <w:rsid w:val="00E51C8D"/>
    <w:rsid w:val="00E51D18"/>
    <w:rsid w:val="00E51D2A"/>
    <w:rsid w:val="00E521DA"/>
    <w:rsid w:val="00E52437"/>
    <w:rsid w:val="00E5249A"/>
    <w:rsid w:val="00E525DB"/>
    <w:rsid w:val="00E526D8"/>
    <w:rsid w:val="00E52C53"/>
    <w:rsid w:val="00E52ED3"/>
    <w:rsid w:val="00E52F6A"/>
    <w:rsid w:val="00E531D1"/>
    <w:rsid w:val="00E5330D"/>
    <w:rsid w:val="00E53487"/>
    <w:rsid w:val="00E53611"/>
    <w:rsid w:val="00E53661"/>
    <w:rsid w:val="00E53960"/>
    <w:rsid w:val="00E53DFF"/>
    <w:rsid w:val="00E53E20"/>
    <w:rsid w:val="00E53EA9"/>
    <w:rsid w:val="00E54459"/>
    <w:rsid w:val="00E546D5"/>
    <w:rsid w:val="00E546EB"/>
    <w:rsid w:val="00E547AD"/>
    <w:rsid w:val="00E54DB5"/>
    <w:rsid w:val="00E54F7F"/>
    <w:rsid w:val="00E54FA6"/>
    <w:rsid w:val="00E5509E"/>
    <w:rsid w:val="00E551A0"/>
    <w:rsid w:val="00E55369"/>
    <w:rsid w:val="00E55909"/>
    <w:rsid w:val="00E5595B"/>
    <w:rsid w:val="00E560C1"/>
    <w:rsid w:val="00E561EB"/>
    <w:rsid w:val="00E5624D"/>
    <w:rsid w:val="00E562F3"/>
    <w:rsid w:val="00E564C1"/>
    <w:rsid w:val="00E5699F"/>
    <w:rsid w:val="00E56AB1"/>
    <w:rsid w:val="00E56BC6"/>
    <w:rsid w:val="00E56E12"/>
    <w:rsid w:val="00E5701E"/>
    <w:rsid w:val="00E57035"/>
    <w:rsid w:val="00E570F3"/>
    <w:rsid w:val="00E57148"/>
    <w:rsid w:val="00E57318"/>
    <w:rsid w:val="00E57456"/>
    <w:rsid w:val="00E575AD"/>
    <w:rsid w:val="00E57831"/>
    <w:rsid w:val="00E57BA8"/>
    <w:rsid w:val="00E57FA3"/>
    <w:rsid w:val="00E602BD"/>
    <w:rsid w:val="00E6030F"/>
    <w:rsid w:val="00E60326"/>
    <w:rsid w:val="00E603DE"/>
    <w:rsid w:val="00E60486"/>
    <w:rsid w:val="00E6059F"/>
    <w:rsid w:val="00E60879"/>
    <w:rsid w:val="00E609A9"/>
    <w:rsid w:val="00E60ADA"/>
    <w:rsid w:val="00E61213"/>
    <w:rsid w:val="00E612B7"/>
    <w:rsid w:val="00E61519"/>
    <w:rsid w:val="00E615D8"/>
    <w:rsid w:val="00E61ABA"/>
    <w:rsid w:val="00E61B95"/>
    <w:rsid w:val="00E61DBA"/>
    <w:rsid w:val="00E61E84"/>
    <w:rsid w:val="00E6227F"/>
    <w:rsid w:val="00E6254A"/>
    <w:rsid w:val="00E6260C"/>
    <w:rsid w:val="00E62A2F"/>
    <w:rsid w:val="00E62B20"/>
    <w:rsid w:val="00E62C07"/>
    <w:rsid w:val="00E62D70"/>
    <w:rsid w:val="00E62FDA"/>
    <w:rsid w:val="00E63738"/>
    <w:rsid w:val="00E63776"/>
    <w:rsid w:val="00E6388E"/>
    <w:rsid w:val="00E63AA8"/>
    <w:rsid w:val="00E63DA4"/>
    <w:rsid w:val="00E63E55"/>
    <w:rsid w:val="00E64090"/>
    <w:rsid w:val="00E64285"/>
    <w:rsid w:val="00E642FA"/>
    <w:rsid w:val="00E64382"/>
    <w:rsid w:val="00E6439E"/>
    <w:rsid w:val="00E6442B"/>
    <w:rsid w:val="00E6449A"/>
    <w:rsid w:val="00E64C63"/>
    <w:rsid w:val="00E64F38"/>
    <w:rsid w:val="00E659E2"/>
    <w:rsid w:val="00E65B48"/>
    <w:rsid w:val="00E65CF9"/>
    <w:rsid w:val="00E65EF0"/>
    <w:rsid w:val="00E6625F"/>
    <w:rsid w:val="00E66319"/>
    <w:rsid w:val="00E663E0"/>
    <w:rsid w:val="00E66527"/>
    <w:rsid w:val="00E666DA"/>
    <w:rsid w:val="00E66893"/>
    <w:rsid w:val="00E66D2B"/>
    <w:rsid w:val="00E66FD6"/>
    <w:rsid w:val="00E67074"/>
    <w:rsid w:val="00E670F8"/>
    <w:rsid w:val="00E672F7"/>
    <w:rsid w:val="00E67684"/>
    <w:rsid w:val="00E67C29"/>
    <w:rsid w:val="00E700C1"/>
    <w:rsid w:val="00E7024B"/>
    <w:rsid w:val="00E702E1"/>
    <w:rsid w:val="00E7055C"/>
    <w:rsid w:val="00E705F8"/>
    <w:rsid w:val="00E7065D"/>
    <w:rsid w:val="00E706D5"/>
    <w:rsid w:val="00E7095D"/>
    <w:rsid w:val="00E709EC"/>
    <w:rsid w:val="00E70DF1"/>
    <w:rsid w:val="00E70E48"/>
    <w:rsid w:val="00E70F59"/>
    <w:rsid w:val="00E71285"/>
    <w:rsid w:val="00E71289"/>
    <w:rsid w:val="00E7138D"/>
    <w:rsid w:val="00E7147E"/>
    <w:rsid w:val="00E71626"/>
    <w:rsid w:val="00E71640"/>
    <w:rsid w:val="00E716B3"/>
    <w:rsid w:val="00E7193A"/>
    <w:rsid w:val="00E71989"/>
    <w:rsid w:val="00E71A55"/>
    <w:rsid w:val="00E71C88"/>
    <w:rsid w:val="00E71E2A"/>
    <w:rsid w:val="00E71E2E"/>
    <w:rsid w:val="00E71F35"/>
    <w:rsid w:val="00E7228E"/>
    <w:rsid w:val="00E723A5"/>
    <w:rsid w:val="00E72936"/>
    <w:rsid w:val="00E72D71"/>
    <w:rsid w:val="00E72E63"/>
    <w:rsid w:val="00E731D6"/>
    <w:rsid w:val="00E73532"/>
    <w:rsid w:val="00E7356E"/>
    <w:rsid w:val="00E73ABD"/>
    <w:rsid w:val="00E73AF8"/>
    <w:rsid w:val="00E74075"/>
    <w:rsid w:val="00E74106"/>
    <w:rsid w:val="00E748C0"/>
    <w:rsid w:val="00E7492E"/>
    <w:rsid w:val="00E74CD3"/>
    <w:rsid w:val="00E74EA4"/>
    <w:rsid w:val="00E75163"/>
    <w:rsid w:val="00E751A4"/>
    <w:rsid w:val="00E7539D"/>
    <w:rsid w:val="00E7543F"/>
    <w:rsid w:val="00E754F5"/>
    <w:rsid w:val="00E75828"/>
    <w:rsid w:val="00E758DE"/>
    <w:rsid w:val="00E75EB1"/>
    <w:rsid w:val="00E75F40"/>
    <w:rsid w:val="00E76568"/>
    <w:rsid w:val="00E76581"/>
    <w:rsid w:val="00E76925"/>
    <w:rsid w:val="00E76C0D"/>
    <w:rsid w:val="00E76CF8"/>
    <w:rsid w:val="00E76ECF"/>
    <w:rsid w:val="00E76EFC"/>
    <w:rsid w:val="00E77460"/>
    <w:rsid w:val="00E777A9"/>
    <w:rsid w:val="00E77EF1"/>
    <w:rsid w:val="00E77F23"/>
    <w:rsid w:val="00E80002"/>
    <w:rsid w:val="00E8003A"/>
    <w:rsid w:val="00E80482"/>
    <w:rsid w:val="00E804FF"/>
    <w:rsid w:val="00E80528"/>
    <w:rsid w:val="00E80821"/>
    <w:rsid w:val="00E809C0"/>
    <w:rsid w:val="00E80A65"/>
    <w:rsid w:val="00E80EC9"/>
    <w:rsid w:val="00E8104B"/>
    <w:rsid w:val="00E81725"/>
    <w:rsid w:val="00E817E4"/>
    <w:rsid w:val="00E81872"/>
    <w:rsid w:val="00E81923"/>
    <w:rsid w:val="00E819F8"/>
    <w:rsid w:val="00E81DD9"/>
    <w:rsid w:val="00E81E4F"/>
    <w:rsid w:val="00E81F12"/>
    <w:rsid w:val="00E82205"/>
    <w:rsid w:val="00E822DC"/>
    <w:rsid w:val="00E82335"/>
    <w:rsid w:val="00E8240F"/>
    <w:rsid w:val="00E82547"/>
    <w:rsid w:val="00E82889"/>
    <w:rsid w:val="00E828D9"/>
    <w:rsid w:val="00E82E32"/>
    <w:rsid w:val="00E82FE3"/>
    <w:rsid w:val="00E83025"/>
    <w:rsid w:val="00E83029"/>
    <w:rsid w:val="00E8332F"/>
    <w:rsid w:val="00E8355D"/>
    <w:rsid w:val="00E8356F"/>
    <w:rsid w:val="00E83619"/>
    <w:rsid w:val="00E8364D"/>
    <w:rsid w:val="00E83A25"/>
    <w:rsid w:val="00E83AAE"/>
    <w:rsid w:val="00E83DB3"/>
    <w:rsid w:val="00E83E77"/>
    <w:rsid w:val="00E8456A"/>
    <w:rsid w:val="00E8470F"/>
    <w:rsid w:val="00E848B5"/>
    <w:rsid w:val="00E848E8"/>
    <w:rsid w:val="00E84BBB"/>
    <w:rsid w:val="00E84C18"/>
    <w:rsid w:val="00E84F03"/>
    <w:rsid w:val="00E851DD"/>
    <w:rsid w:val="00E85598"/>
    <w:rsid w:val="00E85828"/>
    <w:rsid w:val="00E858A1"/>
    <w:rsid w:val="00E85AE8"/>
    <w:rsid w:val="00E85B12"/>
    <w:rsid w:val="00E85CE2"/>
    <w:rsid w:val="00E861CA"/>
    <w:rsid w:val="00E863A2"/>
    <w:rsid w:val="00E86555"/>
    <w:rsid w:val="00E869ED"/>
    <w:rsid w:val="00E86A20"/>
    <w:rsid w:val="00E86CAC"/>
    <w:rsid w:val="00E86DF6"/>
    <w:rsid w:val="00E8742F"/>
    <w:rsid w:val="00E8754C"/>
    <w:rsid w:val="00E879A2"/>
    <w:rsid w:val="00E87B20"/>
    <w:rsid w:val="00E87E49"/>
    <w:rsid w:val="00E901A5"/>
    <w:rsid w:val="00E90223"/>
    <w:rsid w:val="00E9078C"/>
    <w:rsid w:val="00E907F3"/>
    <w:rsid w:val="00E9122F"/>
    <w:rsid w:val="00E913D1"/>
    <w:rsid w:val="00E9145D"/>
    <w:rsid w:val="00E91C65"/>
    <w:rsid w:val="00E91D43"/>
    <w:rsid w:val="00E91E39"/>
    <w:rsid w:val="00E91E83"/>
    <w:rsid w:val="00E91F6A"/>
    <w:rsid w:val="00E91FB3"/>
    <w:rsid w:val="00E92104"/>
    <w:rsid w:val="00E9217C"/>
    <w:rsid w:val="00E925C9"/>
    <w:rsid w:val="00E92A61"/>
    <w:rsid w:val="00E92AE6"/>
    <w:rsid w:val="00E92C07"/>
    <w:rsid w:val="00E93081"/>
    <w:rsid w:val="00E9320C"/>
    <w:rsid w:val="00E93362"/>
    <w:rsid w:val="00E938D7"/>
    <w:rsid w:val="00E93BFC"/>
    <w:rsid w:val="00E93F34"/>
    <w:rsid w:val="00E9421E"/>
    <w:rsid w:val="00E94279"/>
    <w:rsid w:val="00E943C1"/>
    <w:rsid w:val="00E943FD"/>
    <w:rsid w:val="00E94975"/>
    <w:rsid w:val="00E94B0E"/>
    <w:rsid w:val="00E94DE9"/>
    <w:rsid w:val="00E9505F"/>
    <w:rsid w:val="00E950F5"/>
    <w:rsid w:val="00E951A8"/>
    <w:rsid w:val="00E95384"/>
    <w:rsid w:val="00E95653"/>
    <w:rsid w:val="00E95739"/>
    <w:rsid w:val="00E95C04"/>
    <w:rsid w:val="00E95C2F"/>
    <w:rsid w:val="00E95D37"/>
    <w:rsid w:val="00E95DC4"/>
    <w:rsid w:val="00E9608D"/>
    <w:rsid w:val="00E96145"/>
    <w:rsid w:val="00E9679F"/>
    <w:rsid w:val="00E96CAC"/>
    <w:rsid w:val="00E96CDE"/>
    <w:rsid w:val="00E96D80"/>
    <w:rsid w:val="00E970C1"/>
    <w:rsid w:val="00E971BC"/>
    <w:rsid w:val="00E9739F"/>
    <w:rsid w:val="00E97615"/>
    <w:rsid w:val="00E97686"/>
    <w:rsid w:val="00E976BB"/>
    <w:rsid w:val="00E977A6"/>
    <w:rsid w:val="00E97822"/>
    <w:rsid w:val="00E97846"/>
    <w:rsid w:val="00E97913"/>
    <w:rsid w:val="00E97BBF"/>
    <w:rsid w:val="00EA008D"/>
    <w:rsid w:val="00EA03A7"/>
    <w:rsid w:val="00EA08C8"/>
    <w:rsid w:val="00EA0A1F"/>
    <w:rsid w:val="00EA0DD8"/>
    <w:rsid w:val="00EA0ED6"/>
    <w:rsid w:val="00EA116B"/>
    <w:rsid w:val="00EA15A9"/>
    <w:rsid w:val="00EA1725"/>
    <w:rsid w:val="00EA17B1"/>
    <w:rsid w:val="00EA18ED"/>
    <w:rsid w:val="00EA1B68"/>
    <w:rsid w:val="00EA22B2"/>
    <w:rsid w:val="00EA234E"/>
    <w:rsid w:val="00EA2452"/>
    <w:rsid w:val="00EA29CA"/>
    <w:rsid w:val="00EA2C4A"/>
    <w:rsid w:val="00EA2E30"/>
    <w:rsid w:val="00EA2FB9"/>
    <w:rsid w:val="00EA3099"/>
    <w:rsid w:val="00EA3114"/>
    <w:rsid w:val="00EA321E"/>
    <w:rsid w:val="00EA3290"/>
    <w:rsid w:val="00EA38B8"/>
    <w:rsid w:val="00EA3AF9"/>
    <w:rsid w:val="00EA3D49"/>
    <w:rsid w:val="00EA4400"/>
    <w:rsid w:val="00EA46EF"/>
    <w:rsid w:val="00EA4861"/>
    <w:rsid w:val="00EA48F7"/>
    <w:rsid w:val="00EA4A51"/>
    <w:rsid w:val="00EA4AF6"/>
    <w:rsid w:val="00EA4CC7"/>
    <w:rsid w:val="00EA53C1"/>
    <w:rsid w:val="00EA5441"/>
    <w:rsid w:val="00EA5597"/>
    <w:rsid w:val="00EA587B"/>
    <w:rsid w:val="00EA58FA"/>
    <w:rsid w:val="00EA5992"/>
    <w:rsid w:val="00EA5D75"/>
    <w:rsid w:val="00EA5FA2"/>
    <w:rsid w:val="00EA6096"/>
    <w:rsid w:val="00EA6217"/>
    <w:rsid w:val="00EA662F"/>
    <w:rsid w:val="00EA6CC1"/>
    <w:rsid w:val="00EA7159"/>
    <w:rsid w:val="00EA7405"/>
    <w:rsid w:val="00EA7907"/>
    <w:rsid w:val="00EA798A"/>
    <w:rsid w:val="00EA79EB"/>
    <w:rsid w:val="00EA7C5B"/>
    <w:rsid w:val="00EB044F"/>
    <w:rsid w:val="00EB0A8D"/>
    <w:rsid w:val="00EB0BD3"/>
    <w:rsid w:val="00EB0C10"/>
    <w:rsid w:val="00EB0D8A"/>
    <w:rsid w:val="00EB1604"/>
    <w:rsid w:val="00EB180F"/>
    <w:rsid w:val="00EB18A0"/>
    <w:rsid w:val="00EB1D28"/>
    <w:rsid w:val="00EB1D90"/>
    <w:rsid w:val="00EB1DD1"/>
    <w:rsid w:val="00EB1EB0"/>
    <w:rsid w:val="00EB2049"/>
    <w:rsid w:val="00EB21BB"/>
    <w:rsid w:val="00EB26A0"/>
    <w:rsid w:val="00EB278F"/>
    <w:rsid w:val="00EB2867"/>
    <w:rsid w:val="00EB2A6F"/>
    <w:rsid w:val="00EB2CA0"/>
    <w:rsid w:val="00EB2DEA"/>
    <w:rsid w:val="00EB2E6C"/>
    <w:rsid w:val="00EB335B"/>
    <w:rsid w:val="00EB366C"/>
    <w:rsid w:val="00EB37AB"/>
    <w:rsid w:val="00EB37EF"/>
    <w:rsid w:val="00EB3830"/>
    <w:rsid w:val="00EB3997"/>
    <w:rsid w:val="00EB3E8D"/>
    <w:rsid w:val="00EB3F16"/>
    <w:rsid w:val="00EB3FB4"/>
    <w:rsid w:val="00EB427E"/>
    <w:rsid w:val="00EB4654"/>
    <w:rsid w:val="00EB4721"/>
    <w:rsid w:val="00EB4BB4"/>
    <w:rsid w:val="00EB4CD0"/>
    <w:rsid w:val="00EB4CEE"/>
    <w:rsid w:val="00EB4E3A"/>
    <w:rsid w:val="00EB4F34"/>
    <w:rsid w:val="00EB52A0"/>
    <w:rsid w:val="00EB53C0"/>
    <w:rsid w:val="00EB5551"/>
    <w:rsid w:val="00EB57F1"/>
    <w:rsid w:val="00EB581A"/>
    <w:rsid w:val="00EB6617"/>
    <w:rsid w:val="00EB66E8"/>
    <w:rsid w:val="00EB67BB"/>
    <w:rsid w:val="00EB67DB"/>
    <w:rsid w:val="00EB680D"/>
    <w:rsid w:val="00EB6833"/>
    <w:rsid w:val="00EB685A"/>
    <w:rsid w:val="00EB6EDC"/>
    <w:rsid w:val="00EB703F"/>
    <w:rsid w:val="00EB7291"/>
    <w:rsid w:val="00EB7799"/>
    <w:rsid w:val="00EB77E7"/>
    <w:rsid w:val="00EB7897"/>
    <w:rsid w:val="00EB79FD"/>
    <w:rsid w:val="00EB7A28"/>
    <w:rsid w:val="00EB7ACA"/>
    <w:rsid w:val="00EB7DB2"/>
    <w:rsid w:val="00EC00C6"/>
    <w:rsid w:val="00EC02F8"/>
    <w:rsid w:val="00EC04CE"/>
    <w:rsid w:val="00EC0D2D"/>
    <w:rsid w:val="00EC0E01"/>
    <w:rsid w:val="00EC126B"/>
    <w:rsid w:val="00EC14CB"/>
    <w:rsid w:val="00EC1561"/>
    <w:rsid w:val="00EC1752"/>
    <w:rsid w:val="00EC1C33"/>
    <w:rsid w:val="00EC1D0C"/>
    <w:rsid w:val="00EC209A"/>
    <w:rsid w:val="00EC22B8"/>
    <w:rsid w:val="00EC25F6"/>
    <w:rsid w:val="00EC2676"/>
    <w:rsid w:val="00EC2758"/>
    <w:rsid w:val="00EC2872"/>
    <w:rsid w:val="00EC29E2"/>
    <w:rsid w:val="00EC2A0F"/>
    <w:rsid w:val="00EC2B25"/>
    <w:rsid w:val="00EC2F45"/>
    <w:rsid w:val="00EC2F63"/>
    <w:rsid w:val="00EC3171"/>
    <w:rsid w:val="00EC31A2"/>
    <w:rsid w:val="00EC33AB"/>
    <w:rsid w:val="00EC372F"/>
    <w:rsid w:val="00EC3798"/>
    <w:rsid w:val="00EC37A3"/>
    <w:rsid w:val="00EC396C"/>
    <w:rsid w:val="00EC3B4B"/>
    <w:rsid w:val="00EC3B51"/>
    <w:rsid w:val="00EC3D76"/>
    <w:rsid w:val="00EC4421"/>
    <w:rsid w:val="00EC4570"/>
    <w:rsid w:val="00EC48D9"/>
    <w:rsid w:val="00EC4A5D"/>
    <w:rsid w:val="00EC4C42"/>
    <w:rsid w:val="00EC590A"/>
    <w:rsid w:val="00EC5AE2"/>
    <w:rsid w:val="00EC645D"/>
    <w:rsid w:val="00EC64F6"/>
    <w:rsid w:val="00EC662B"/>
    <w:rsid w:val="00EC66C6"/>
    <w:rsid w:val="00EC6ADA"/>
    <w:rsid w:val="00EC6B2E"/>
    <w:rsid w:val="00EC6C81"/>
    <w:rsid w:val="00EC7046"/>
    <w:rsid w:val="00EC70F2"/>
    <w:rsid w:val="00EC79A9"/>
    <w:rsid w:val="00EC79D1"/>
    <w:rsid w:val="00EC7BF0"/>
    <w:rsid w:val="00ED01D2"/>
    <w:rsid w:val="00ED02FA"/>
    <w:rsid w:val="00ED0376"/>
    <w:rsid w:val="00ED0467"/>
    <w:rsid w:val="00ED05CB"/>
    <w:rsid w:val="00ED05E9"/>
    <w:rsid w:val="00ED0683"/>
    <w:rsid w:val="00ED0743"/>
    <w:rsid w:val="00ED09AA"/>
    <w:rsid w:val="00ED0C4B"/>
    <w:rsid w:val="00ED0D53"/>
    <w:rsid w:val="00ED0E6E"/>
    <w:rsid w:val="00ED12AC"/>
    <w:rsid w:val="00ED136B"/>
    <w:rsid w:val="00ED1387"/>
    <w:rsid w:val="00ED18F6"/>
    <w:rsid w:val="00ED1A89"/>
    <w:rsid w:val="00ED1A98"/>
    <w:rsid w:val="00ED1B42"/>
    <w:rsid w:val="00ED1F53"/>
    <w:rsid w:val="00ED1F70"/>
    <w:rsid w:val="00ED207E"/>
    <w:rsid w:val="00ED222C"/>
    <w:rsid w:val="00ED288D"/>
    <w:rsid w:val="00ED2BA5"/>
    <w:rsid w:val="00ED2D3F"/>
    <w:rsid w:val="00ED2D72"/>
    <w:rsid w:val="00ED2F0C"/>
    <w:rsid w:val="00ED343B"/>
    <w:rsid w:val="00ED366F"/>
    <w:rsid w:val="00ED39A3"/>
    <w:rsid w:val="00ED3D5B"/>
    <w:rsid w:val="00ED41BF"/>
    <w:rsid w:val="00ED41D0"/>
    <w:rsid w:val="00ED42B2"/>
    <w:rsid w:val="00ED45D4"/>
    <w:rsid w:val="00ED47FD"/>
    <w:rsid w:val="00ED48AC"/>
    <w:rsid w:val="00ED4CA9"/>
    <w:rsid w:val="00ED4E9D"/>
    <w:rsid w:val="00ED5040"/>
    <w:rsid w:val="00ED50B4"/>
    <w:rsid w:val="00ED5181"/>
    <w:rsid w:val="00ED5299"/>
    <w:rsid w:val="00ED56C3"/>
    <w:rsid w:val="00ED5C4B"/>
    <w:rsid w:val="00ED5CD2"/>
    <w:rsid w:val="00ED5E3E"/>
    <w:rsid w:val="00ED5EC7"/>
    <w:rsid w:val="00ED5EE8"/>
    <w:rsid w:val="00ED62E7"/>
    <w:rsid w:val="00ED6578"/>
    <w:rsid w:val="00ED669D"/>
    <w:rsid w:val="00ED6764"/>
    <w:rsid w:val="00ED69B1"/>
    <w:rsid w:val="00ED6BC8"/>
    <w:rsid w:val="00ED6DA8"/>
    <w:rsid w:val="00ED6FF5"/>
    <w:rsid w:val="00ED7099"/>
    <w:rsid w:val="00ED7661"/>
    <w:rsid w:val="00ED7796"/>
    <w:rsid w:val="00ED792F"/>
    <w:rsid w:val="00ED7DBB"/>
    <w:rsid w:val="00ED7FCD"/>
    <w:rsid w:val="00EE000F"/>
    <w:rsid w:val="00EE03FE"/>
    <w:rsid w:val="00EE05A9"/>
    <w:rsid w:val="00EE05DC"/>
    <w:rsid w:val="00EE0B00"/>
    <w:rsid w:val="00EE0E69"/>
    <w:rsid w:val="00EE0FC3"/>
    <w:rsid w:val="00EE1325"/>
    <w:rsid w:val="00EE1D10"/>
    <w:rsid w:val="00EE1E2B"/>
    <w:rsid w:val="00EE25A4"/>
    <w:rsid w:val="00EE261E"/>
    <w:rsid w:val="00EE2803"/>
    <w:rsid w:val="00EE2856"/>
    <w:rsid w:val="00EE2888"/>
    <w:rsid w:val="00EE2A31"/>
    <w:rsid w:val="00EE2B43"/>
    <w:rsid w:val="00EE2E32"/>
    <w:rsid w:val="00EE33A0"/>
    <w:rsid w:val="00EE345E"/>
    <w:rsid w:val="00EE34E2"/>
    <w:rsid w:val="00EE3779"/>
    <w:rsid w:val="00EE399F"/>
    <w:rsid w:val="00EE3C61"/>
    <w:rsid w:val="00EE3F25"/>
    <w:rsid w:val="00EE4038"/>
    <w:rsid w:val="00EE40D3"/>
    <w:rsid w:val="00EE4754"/>
    <w:rsid w:val="00EE487F"/>
    <w:rsid w:val="00EE4B4E"/>
    <w:rsid w:val="00EE4CE7"/>
    <w:rsid w:val="00EE50FA"/>
    <w:rsid w:val="00EE5145"/>
    <w:rsid w:val="00EE5173"/>
    <w:rsid w:val="00EE52C9"/>
    <w:rsid w:val="00EE5396"/>
    <w:rsid w:val="00EE53D3"/>
    <w:rsid w:val="00EE558B"/>
    <w:rsid w:val="00EE566E"/>
    <w:rsid w:val="00EE587A"/>
    <w:rsid w:val="00EE5B36"/>
    <w:rsid w:val="00EE5C6B"/>
    <w:rsid w:val="00EE5DA7"/>
    <w:rsid w:val="00EE5E45"/>
    <w:rsid w:val="00EE5E46"/>
    <w:rsid w:val="00EE5ED0"/>
    <w:rsid w:val="00EE600A"/>
    <w:rsid w:val="00EE651E"/>
    <w:rsid w:val="00EE6774"/>
    <w:rsid w:val="00EE6784"/>
    <w:rsid w:val="00EE6D9E"/>
    <w:rsid w:val="00EE6F3C"/>
    <w:rsid w:val="00EE70F5"/>
    <w:rsid w:val="00EE7675"/>
    <w:rsid w:val="00EE78D5"/>
    <w:rsid w:val="00EE797E"/>
    <w:rsid w:val="00EE79BB"/>
    <w:rsid w:val="00EE7AC5"/>
    <w:rsid w:val="00EE7B23"/>
    <w:rsid w:val="00EE7B3D"/>
    <w:rsid w:val="00EE7C75"/>
    <w:rsid w:val="00EE7DAE"/>
    <w:rsid w:val="00EE7DD3"/>
    <w:rsid w:val="00EE7E33"/>
    <w:rsid w:val="00EE7EE5"/>
    <w:rsid w:val="00EF00D3"/>
    <w:rsid w:val="00EF0227"/>
    <w:rsid w:val="00EF0548"/>
    <w:rsid w:val="00EF0C13"/>
    <w:rsid w:val="00EF0CBA"/>
    <w:rsid w:val="00EF0D8B"/>
    <w:rsid w:val="00EF10FB"/>
    <w:rsid w:val="00EF11A4"/>
    <w:rsid w:val="00EF1431"/>
    <w:rsid w:val="00EF165E"/>
    <w:rsid w:val="00EF1ADC"/>
    <w:rsid w:val="00EF1C26"/>
    <w:rsid w:val="00EF1D3E"/>
    <w:rsid w:val="00EF1D7D"/>
    <w:rsid w:val="00EF2243"/>
    <w:rsid w:val="00EF23D8"/>
    <w:rsid w:val="00EF24CD"/>
    <w:rsid w:val="00EF2727"/>
    <w:rsid w:val="00EF2868"/>
    <w:rsid w:val="00EF2A49"/>
    <w:rsid w:val="00EF2F39"/>
    <w:rsid w:val="00EF2FB2"/>
    <w:rsid w:val="00EF3081"/>
    <w:rsid w:val="00EF3096"/>
    <w:rsid w:val="00EF31DC"/>
    <w:rsid w:val="00EF3427"/>
    <w:rsid w:val="00EF38EF"/>
    <w:rsid w:val="00EF3A06"/>
    <w:rsid w:val="00EF3A6D"/>
    <w:rsid w:val="00EF3D7B"/>
    <w:rsid w:val="00EF3EC6"/>
    <w:rsid w:val="00EF3F8B"/>
    <w:rsid w:val="00EF4444"/>
    <w:rsid w:val="00EF4ADD"/>
    <w:rsid w:val="00EF4F8C"/>
    <w:rsid w:val="00EF5036"/>
    <w:rsid w:val="00EF50DC"/>
    <w:rsid w:val="00EF5442"/>
    <w:rsid w:val="00EF54F9"/>
    <w:rsid w:val="00EF568F"/>
    <w:rsid w:val="00EF577D"/>
    <w:rsid w:val="00EF5994"/>
    <w:rsid w:val="00EF5CAD"/>
    <w:rsid w:val="00EF5E08"/>
    <w:rsid w:val="00EF5F12"/>
    <w:rsid w:val="00EF6137"/>
    <w:rsid w:val="00EF62E9"/>
    <w:rsid w:val="00EF63D4"/>
    <w:rsid w:val="00EF6481"/>
    <w:rsid w:val="00EF64C3"/>
    <w:rsid w:val="00EF6AB0"/>
    <w:rsid w:val="00EF6CDC"/>
    <w:rsid w:val="00EF6D8D"/>
    <w:rsid w:val="00EF6E37"/>
    <w:rsid w:val="00EF6E42"/>
    <w:rsid w:val="00EF76D8"/>
    <w:rsid w:val="00EF77B9"/>
    <w:rsid w:val="00EF78C2"/>
    <w:rsid w:val="00EF7B9D"/>
    <w:rsid w:val="00EF7CD8"/>
    <w:rsid w:val="00F00041"/>
    <w:rsid w:val="00F00485"/>
    <w:rsid w:val="00F00685"/>
    <w:rsid w:val="00F007EF"/>
    <w:rsid w:val="00F008CA"/>
    <w:rsid w:val="00F00D2A"/>
    <w:rsid w:val="00F00FB1"/>
    <w:rsid w:val="00F0125C"/>
    <w:rsid w:val="00F014BB"/>
    <w:rsid w:val="00F015DA"/>
    <w:rsid w:val="00F01EEF"/>
    <w:rsid w:val="00F01F2A"/>
    <w:rsid w:val="00F022BF"/>
    <w:rsid w:val="00F02482"/>
    <w:rsid w:val="00F02579"/>
    <w:rsid w:val="00F026CE"/>
    <w:rsid w:val="00F02845"/>
    <w:rsid w:val="00F02C79"/>
    <w:rsid w:val="00F02EDA"/>
    <w:rsid w:val="00F02FB5"/>
    <w:rsid w:val="00F031FB"/>
    <w:rsid w:val="00F03B8D"/>
    <w:rsid w:val="00F0435C"/>
    <w:rsid w:val="00F04393"/>
    <w:rsid w:val="00F045F3"/>
    <w:rsid w:val="00F0479B"/>
    <w:rsid w:val="00F05267"/>
    <w:rsid w:val="00F0537A"/>
    <w:rsid w:val="00F058C6"/>
    <w:rsid w:val="00F05BDF"/>
    <w:rsid w:val="00F05D5E"/>
    <w:rsid w:val="00F0612F"/>
    <w:rsid w:val="00F061CD"/>
    <w:rsid w:val="00F06A28"/>
    <w:rsid w:val="00F06AF3"/>
    <w:rsid w:val="00F06BDE"/>
    <w:rsid w:val="00F06EB0"/>
    <w:rsid w:val="00F0717F"/>
    <w:rsid w:val="00F071D4"/>
    <w:rsid w:val="00F07237"/>
    <w:rsid w:val="00F07367"/>
    <w:rsid w:val="00F07493"/>
    <w:rsid w:val="00F075D1"/>
    <w:rsid w:val="00F076C9"/>
    <w:rsid w:val="00F07BD1"/>
    <w:rsid w:val="00F07E0F"/>
    <w:rsid w:val="00F07E73"/>
    <w:rsid w:val="00F07F35"/>
    <w:rsid w:val="00F1007E"/>
    <w:rsid w:val="00F103F2"/>
    <w:rsid w:val="00F104CD"/>
    <w:rsid w:val="00F104DE"/>
    <w:rsid w:val="00F1075B"/>
    <w:rsid w:val="00F1081E"/>
    <w:rsid w:val="00F1095A"/>
    <w:rsid w:val="00F10979"/>
    <w:rsid w:val="00F10E34"/>
    <w:rsid w:val="00F10FB9"/>
    <w:rsid w:val="00F11208"/>
    <w:rsid w:val="00F1148F"/>
    <w:rsid w:val="00F11834"/>
    <w:rsid w:val="00F11914"/>
    <w:rsid w:val="00F11BA1"/>
    <w:rsid w:val="00F1245D"/>
    <w:rsid w:val="00F12478"/>
    <w:rsid w:val="00F12482"/>
    <w:rsid w:val="00F125F5"/>
    <w:rsid w:val="00F1265B"/>
    <w:rsid w:val="00F1296D"/>
    <w:rsid w:val="00F12D0B"/>
    <w:rsid w:val="00F12D80"/>
    <w:rsid w:val="00F12DEA"/>
    <w:rsid w:val="00F12E06"/>
    <w:rsid w:val="00F12F48"/>
    <w:rsid w:val="00F1358D"/>
    <w:rsid w:val="00F135E3"/>
    <w:rsid w:val="00F136EF"/>
    <w:rsid w:val="00F13805"/>
    <w:rsid w:val="00F1380E"/>
    <w:rsid w:val="00F1393B"/>
    <w:rsid w:val="00F13951"/>
    <w:rsid w:val="00F14250"/>
    <w:rsid w:val="00F145E9"/>
    <w:rsid w:val="00F14CB3"/>
    <w:rsid w:val="00F14CF4"/>
    <w:rsid w:val="00F14E12"/>
    <w:rsid w:val="00F15084"/>
    <w:rsid w:val="00F15409"/>
    <w:rsid w:val="00F15487"/>
    <w:rsid w:val="00F155CA"/>
    <w:rsid w:val="00F15647"/>
    <w:rsid w:val="00F1566C"/>
    <w:rsid w:val="00F15742"/>
    <w:rsid w:val="00F15878"/>
    <w:rsid w:val="00F1590F"/>
    <w:rsid w:val="00F15AE7"/>
    <w:rsid w:val="00F15BFA"/>
    <w:rsid w:val="00F15F2E"/>
    <w:rsid w:val="00F163C0"/>
    <w:rsid w:val="00F164D9"/>
    <w:rsid w:val="00F16638"/>
    <w:rsid w:val="00F16ADB"/>
    <w:rsid w:val="00F16AE5"/>
    <w:rsid w:val="00F16D17"/>
    <w:rsid w:val="00F16D33"/>
    <w:rsid w:val="00F16D3B"/>
    <w:rsid w:val="00F16FC3"/>
    <w:rsid w:val="00F171F8"/>
    <w:rsid w:val="00F1725B"/>
    <w:rsid w:val="00F17352"/>
    <w:rsid w:val="00F17557"/>
    <w:rsid w:val="00F17648"/>
    <w:rsid w:val="00F176AC"/>
    <w:rsid w:val="00F17A3B"/>
    <w:rsid w:val="00F17AC9"/>
    <w:rsid w:val="00F17DDB"/>
    <w:rsid w:val="00F202DE"/>
    <w:rsid w:val="00F20344"/>
    <w:rsid w:val="00F2055B"/>
    <w:rsid w:val="00F2056C"/>
    <w:rsid w:val="00F207C7"/>
    <w:rsid w:val="00F2080F"/>
    <w:rsid w:val="00F20B7B"/>
    <w:rsid w:val="00F20CCB"/>
    <w:rsid w:val="00F210E0"/>
    <w:rsid w:val="00F214D7"/>
    <w:rsid w:val="00F216FF"/>
    <w:rsid w:val="00F21B0A"/>
    <w:rsid w:val="00F21BEC"/>
    <w:rsid w:val="00F21C83"/>
    <w:rsid w:val="00F21E6E"/>
    <w:rsid w:val="00F21F14"/>
    <w:rsid w:val="00F22110"/>
    <w:rsid w:val="00F2243A"/>
    <w:rsid w:val="00F228E5"/>
    <w:rsid w:val="00F229B8"/>
    <w:rsid w:val="00F22B78"/>
    <w:rsid w:val="00F22BDC"/>
    <w:rsid w:val="00F22E8F"/>
    <w:rsid w:val="00F22F2A"/>
    <w:rsid w:val="00F23231"/>
    <w:rsid w:val="00F2334D"/>
    <w:rsid w:val="00F233B2"/>
    <w:rsid w:val="00F2356A"/>
    <w:rsid w:val="00F2364C"/>
    <w:rsid w:val="00F2368E"/>
    <w:rsid w:val="00F2428D"/>
    <w:rsid w:val="00F24311"/>
    <w:rsid w:val="00F24610"/>
    <w:rsid w:val="00F2462C"/>
    <w:rsid w:val="00F24C67"/>
    <w:rsid w:val="00F24D0E"/>
    <w:rsid w:val="00F24E42"/>
    <w:rsid w:val="00F24EBC"/>
    <w:rsid w:val="00F24F81"/>
    <w:rsid w:val="00F254C5"/>
    <w:rsid w:val="00F25664"/>
    <w:rsid w:val="00F2567C"/>
    <w:rsid w:val="00F25694"/>
    <w:rsid w:val="00F25714"/>
    <w:rsid w:val="00F2577A"/>
    <w:rsid w:val="00F25A13"/>
    <w:rsid w:val="00F25A70"/>
    <w:rsid w:val="00F266C1"/>
    <w:rsid w:val="00F2670B"/>
    <w:rsid w:val="00F27101"/>
    <w:rsid w:val="00F2728F"/>
    <w:rsid w:val="00F27311"/>
    <w:rsid w:val="00F275D7"/>
    <w:rsid w:val="00F277EB"/>
    <w:rsid w:val="00F27805"/>
    <w:rsid w:val="00F27B07"/>
    <w:rsid w:val="00F27E1B"/>
    <w:rsid w:val="00F27EE4"/>
    <w:rsid w:val="00F3067C"/>
    <w:rsid w:val="00F30727"/>
    <w:rsid w:val="00F30843"/>
    <w:rsid w:val="00F308DF"/>
    <w:rsid w:val="00F30AE9"/>
    <w:rsid w:val="00F30BF6"/>
    <w:rsid w:val="00F30D9A"/>
    <w:rsid w:val="00F30E44"/>
    <w:rsid w:val="00F3100B"/>
    <w:rsid w:val="00F312C3"/>
    <w:rsid w:val="00F314FD"/>
    <w:rsid w:val="00F317A6"/>
    <w:rsid w:val="00F31977"/>
    <w:rsid w:val="00F31F9E"/>
    <w:rsid w:val="00F32004"/>
    <w:rsid w:val="00F320D1"/>
    <w:rsid w:val="00F3213B"/>
    <w:rsid w:val="00F3223E"/>
    <w:rsid w:val="00F32245"/>
    <w:rsid w:val="00F32572"/>
    <w:rsid w:val="00F3265B"/>
    <w:rsid w:val="00F32770"/>
    <w:rsid w:val="00F32F2E"/>
    <w:rsid w:val="00F330CE"/>
    <w:rsid w:val="00F33102"/>
    <w:rsid w:val="00F3339C"/>
    <w:rsid w:val="00F33517"/>
    <w:rsid w:val="00F336F3"/>
    <w:rsid w:val="00F337CD"/>
    <w:rsid w:val="00F33D1F"/>
    <w:rsid w:val="00F34894"/>
    <w:rsid w:val="00F34AD5"/>
    <w:rsid w:val="00F34AEA"/>
    <w:rsid w:val="00F34B10"/>
    <w:rsid w:val="00F35136"/>
    <w:rsid w:val="00F35532"/>
    <w:rsid w:val="00F358F5"/>
    <w:rsid w:val="00F36074"/>
    <w:rsid w:val="00F362E1"/>
    <w:rsid w:val="00F3656A"/>
    <w:rsid w:val="00F3660A"/>
    <w:rsid w:val="00F36611"/>
    <w:rsid w:val="00F3675D"/>
    <w:rsid w:val="00F36876"/>
    <w:rsid w:val="00F36A01"/>
    <w:rsid w:val="00F36C29"/>
    <w:rsid w:val="00F36EA3"/>
    <w:rsid w:val="00F37012"/>
    <w:rsid w:val="00F3723A"/>
    <w:rsid w:val="00F3723E"/>
    <w:rsid w:val="00F3732E"/>
    <w:rsid w:val="00F37546"/>
    <w:rsid w:val="00F3772B"/>
    <w:rsid w:val="00F378C8"/>
    <w:rsid w:val="00F37BD3"/>
    <w:rsid w:val="00F37EBB"/>
    <w:rsid w:val="00F404D7"/>
    <w:rsid w:val="00F407AE"/>
    <w:rsid w:val="00F40941"/>
    <w:rsid w:val="00F409B2"/>
    <w:rsid w:val="00F40A21"/>
    <w:rsid w:val="00F40C24"/>
    <w:rsid w:val="00F412B3"/>
    <w:rsid w:val="00F41A25"/>
    <w:rsid w:val="00F41B31"/>
    <w:rsid w:val="00F41D96"/>
    <w:rsid w:val="00F42036"/>
    <w:rsid w:val="00F42384"/>
    <w:rsid w:val="00F42436"/>
    <w:rsid w:val="00F42A13"/>
    <w:rsid w:val="00F42E2C"/>
    <w:rsid w:val="00F42E95"/>
    <w:rsid w:val="00F435C3"/>
    <w:rsid w:val="00F43ADB"/>
    <w:rsid w:val="00F43C03"/>
    <w:rsid w:val="00F43D9C"/>
    <w:rsid w:val="00F43E82"/>
    <w:rsid w:val="00F440A8"/>
    <w:rsid w:val="00F440B9"/>
    <w:rsid w:val="00F44185"/>
    <w:rsid w:val="00F443A6"/>
    <w:rsid w:val="00F4443C"/>
    <w:rsid w:val="00F44477"/>
    <w:rsid w:val="00F44AA5"/>
    <w:rsid w:val="00F44B92"/>
    <w:rsid w:val="00F44E45"/>
    <w:rsid w:val="00F44F16"/>
    <w:rsid w:val="00F4501B"/>
    <w:rsid w:val="00F4545B"/>
    <w:rsid w:val="00F45629"/>
    <w:rsid w:val="00F45808"/>
    <w:rsid w:val="00F45812"/>
    <w:rsid w:val="00F45C20"/>
    <w:rsid w:val="00F45EE6"/>
    <w:rsid w:val="00F464A8"/>
    <w:rsid w:val="00F465D4"/>
    <w:rsid w:val="00F46D3F"/>
    <w:rsid w:val="00F46EA6"/>
    <w:rsid w:val="00F47287"/>
    <w:rsid w:val="00F475BF"/>
    <w:rsid w:val="00F476A3"/>
    <w:rsid w:val="00F4776F"/>
    <w:rsid w:val="00F477C8"/>
    <w:rsid w:val="00F4787F"/>
    <w:rsid w:val="00F4799B"/>
    <w:rsid w:val="00F479FE"/>
    <w:rsid w:val="00F47BCA"/>
    <w:rsid w:val="00F47C1B"/>
    <w:rsid w:val="00F47D54"/>
    <w:rsid w:val="00F47FAE"/>
    <w:rsid w:val="00F50245"/>
    <w:rsid w:val="00F5093B"/>
    <w:rsid w:val="00F50CE2"/>
    <w:rsid w:val="00F51330"/>
    <w:rsid w:val="00F51378"/>
    <w:rsid w:val="00F51461"/>
    <w:rsid w:val="00F51649"/>
    <w:rsid w:val="00F5169F"/>
    <w:rsid w:val="00F5171F"/>
    <w:rsid w:val="00F518C4"/>
    <w:rsid w:val="00F518DC"/>
    <w:rsid w:val="00F51904"/>
    <w:rsid w:val="00F51A86"/>
    <w:rsid w:val="00F51B54"/>
    <w:rsid w:val="00F51BB7"/>
    <w:rsid w:val="00F51EAC"/>
    <w:rsid w:val="00F5207C"/>
    <w:rsid w:val="00F52660"/>
    <w:rsid w:val="00F5294E"/>
    <w:rsid w:val="00F52A55"/>
    <w:rsid w:val="00F52EED"/>
    <w:rsid w:val="00F53049"/>
    <w:rsid w:val="00F53353"/>
    <w:rsid w:val="00F535D7"/>
    <w:rsid w:val="00F539E9"/>
    <w:rsid w:val="00F53C93"/>
    <w:rsid w:val="00F541F5"/>
    <w:rsid w:val="00F5449F"/>
    <w:rsid w:val="00F54677"/>
    <w:rsid w:val="00F5483D"/>
    <w:rsid w:val="00F54A3E"/>
    <w:rsid w:val="00F54C2F"/>
    <w:rsid w:val="00F5514A"/>
    <w:rsid w:val="00F553CE"/>
    <w:rsid w:val="00F553EF"/>
    <w:rsid w:val="00F553FE"/>
    <w:rsid w:val="00F55701"/>
    <w:rsid w:val="00F55EDF"/>
    <w:rsid w:val="00F55F61"/>
    <w:rsid w:val="00F5648C"/>
    <w:rsid w:val="00F5656B"/>
    <w:rsid w:val="00F567A6"/>
    <w:rsid w:val="00F56897"/>
    <w:rsid w:val="00F56943"/>
    <w:rsid w:val="00F5696E"/>
    <w:rsid w:val="00F56998"/>
    <w:rsid w:val="00F56B92"/>
    <w:rsid w:val="00F56C41"/>
    <w:rsid w:val="00F57104"/>
    <w:rsid w:val="00F572DD"/>
    <w:rsid w:val="00F57584"/>
    <w:rsid w:val="00F57606"/>
    <w:rsid w:val="00F5788B"/>
    <w:rsid w:val="00F579BB"/>
    <w:rsid w:val="00F57C18"/>
    <w:rsid w:val="00F57D34"/>
    <w:rsid w:val="00F57D90"/>
    <w:rsid w:val="00F57F81"/>
    <w:rsid w:val="00F60600"/>
    <w:rsid w:val="00F60708"/>
    <w:rsid w:val="00F60BC1"/>
    <w:rsid w:val="00F60C28"/>
    <w:rsid w:val="00F6133C"/>
    <w:rsid w:val="00F613E4"/>
    <w:rsid w:val="00F6185A"/>
    <w:rsid w:val="00F61D0F"/>
    <w:rsid w:val="00F61DCB"/>
    <w:rsid w:val="00F620F6"/>
    <w:rsid w:val="00F623FE"/>
    <w:rsid w:val="00F6293C"/>
    <w:rsid w:val="00F62A52"/>
    <w:rsid w:val="00F62B3D"/>
    <w:rsid w:val="00F62C38"/>
    <w:rsid w:val="00F62DB4"/>
    <w:rsid w:val="00F62EFE"/>
    <w:rsid w:val="00F63035"/>
    <w:rsid w:val="00F630C9"/>
    <w:rsid w:val="00F630F6"/>
    <w:rsid w:val="00F632C3"/>
    <w:rsid w:val="00F63593"/>
    <w:rsid w:val="00F636BA"/>
    <w:rsid w:val="00F6389F"/>
    <w:rsid w:val="00F63B19"/>
    <w:rsid w:val="00F63C32"/>
    <w:rsid w:val="00F640A7"/>
    <w:rsid w:val="00F64146"/>
    <w:rsid w:val="00F64475"/>
    <w:rsid w:val="00F64490"/>
    <w:rsid w:val="00F646B1"/>
    <w:rsid w:val="00F647C1"/>
    <w:rsid w:val="00F64CDC"/>
    <w:rsid w:val="00F64DC2"/>
    <w:rsid w:val="00F64F0E"/>
    <w:rsid w:val="00F65057"/>
    <w:rsid w:val="00F650E8"/>
    <w:rsid w:val="00F6532A"/>
    <w:rsid w:val="00F65901"/>
    <w:rsid w:val="00F65906"/>
    <w:rsid w:val="00F65945"/>
    <w:rsid w:val="00F65B39"/>
    <w:rsid w:val="00F66698"/>
    <w:rsid w:val="00F667A5"/>
    <w:rsid w:val="00F668F5"/>
    <w:rsid w:val="00F66E05"/>
    <w:rsid w:val="00F671C4"/>
    <w:rsid w:val="00F673A2"/>
    <w:rsid w:val="00F673D3"/>
    <w:rsid w:val="00F6740C"/>
    <w:rsid w:val="00F674F4"/>
    <w:rsid w:val="00F679DD"/>
    <w:rsid w:val="00F67A88"/>
    <w:rsid w:val="00F67BCF"/>
    <w:rsid w:val="00F67E15"/>
    <w:rsid w:val="00F67F50"/>
    <w:rsid w:val="00F67F65"/>
    <w:rsid w:val="00F70207"/>
    <w:rsid w:val="00F702FD"/>
    <w:rsid w:val="00F70615"/>
    <w:rsid w:val="00F7088D"/>
    <w:rsid w:val="00F70B17"/>
    <w:rsid w:val="00F70DC5"/>
    <w:rsid w:val="00F710B6"/>
    <w:rsid w:val="00F710F9"/>
    <w:rsid w:val="00F71158"/>
    <w:rsid w:val="00F71383"/>
    <w:rsid w:val="00F7160F"/>
    <w:rsid w:val="00F71891"/>
    <w:rsid w:val="00F71E03"/>
    <w:rsid w:val="00F71E04"/>
    <w:rsid w:val="00F71F35"/>
    <w:rsid w:val="00F72012"/>
    <w:rsid w:val="00F7209B"/>
    <w:rsid w:val="00F720E0"/>
    <w:rsid w:val="00F72136"/>
    <w:rsid w:val="00F72667"/>
    <w:rsid w:val="00F726F6"/>
    <w:rsid w:val="00F72865"/>
    <w:rsid w:val="00F729CC"/>
    <w:rsid w:val="00F72B5A"/>
    <w:rsid w:val="00F72C13"/>
    <w:rsid w:val="00F72F07"/>
    <w:rsid w:val="00F731B4"/>
    <w:rsid w:val="00F7322D"/>
    <w:rsid w:val="00F73288"/>
    <w:rsid w:val="00F7371E"/>
    <w:rsid w:val="00F7378E"/>
    <w:rsid w:val="00F73926"/>
    <w:rsid w:val="00F73987"/>
    <w:rsid w:val="00F73A4C"/>
    <w:rsid w:val="00F73BBA"/>
    <w:rsid w:val="00F73EE5"/>
    <w:rsid w:val="00F74204"/>
    <w:rsid w:val="00F74421"/>
    <w:rsid w:val="00F744ED"/>
    <w:rsid w:val="00F74645"/>
    <w:rsid w:val="00F74878"/>
    <w:rsid w:val="00F74AE0"/>
    <w:rsid w:val="00F74B9E"/>
    <w:rsid w:val="00F74C14"/>
    <w:rsid w:val="00F74F98"/>
    <w:rsid w:val="00F752E2"/>
    <w:rsid w:val="00F7534F"/>
    <w:rsid w:val="00F75446"/>
    <w:rsid w:val="00F7559C"/>
    <w:rsid w:val="00F756F9"/>
    <w:rsid w:val="00F758F8"/>
    <w:rsid w:val="00F75A57"/>
    <w:rsid w:val="00F76090"/>
    <w:rsid w:val="00F76133"/>
    <w:rsid w:val="00F761FD"/>
    <w:rsid w:val="00F76241"/>
    <w:rsid w:val="00F7653D"/>
    <w:rsid w:val="00F7656D"/>
    <w:rsid w:val="00F766A6"/>
    <w:rsid w:val="00F766D3"/>
    <w:rsid w:val="00F76767"/>
    <w:rsid w:val="00F767B5"/>
    <w:rsid w:val="00F76968"/>
    <w:rsid w:val="00F769D4"/>
    <w:rsid w:val="00F76A00"/>
    <w:rsid w:val="00F76CCB"/>
    <w:rsid w:val="00F76DDF"/>
    <w:rsid w:val="00F7751B"/>
    <w:rsid w:val="00F77669"/>
    <w:rsid w:val="00F7788D"/>
    <w:rsid w:val="00F778D8"/>
    <w:rsid w:val="00F77B5D"/>
    <w:rsid w:val="00F77BF6"/>
    <w:rsid w:val="00F77C80"/>
    <w:rsid w:val="00F77F6E"/>
    <w:rsid w:val="00F80129"/>
    <w:rsid w:val="00F802F4"/>
    <w:rsid w:val="00F8043D"/>
    <w:rsid w:val="00F80B46"/>
    <w:rsid w:val="00F80F32"/>
    <w:rsid w:val="00F81100"/>
    <w:rsid w:val="00F81298"/>
    <w:rsid w:val="00F8130B"/>
    <w:rsid w:val="00F8132E"/>
    <w:rsid w:val="00F815A6"/>
    <w:rsid w:val="00F8194D"/>
    <w:rsid w:val="00F8198B"/>
    <w:rsid w:val="00F81BB9"/>
    <w:rsid w:val="00F81C1E"/>
    <w:rsid w:val="00F81E2F"/>
    <w:rsid w:val="00F82009"/>
    <w:rsid w:val="00F82067"/>
    <w:rsid w:val="00F821CD"/>
    <w:rsid w:val="00F82391"/>
    <w:rsid w:val="00F829F0"/>
    <w:rsid w:val="00F82BC6"/>
    <w:rsid w:val="00F82DA1"/>
    <w:rsid w:val="00F82E4C"/>
    <w:rsid w:val="00F82E79"/>
    <w:rsid w:val="00F82F91"/>
    <w:rsid w:val="00F830BC"/>
    <w:rsid w:val="00F83108"/>
    <w:rsid w:val="00F833BA"/>
    <w:rsid w:val="00F8386D"/>
    <w:rsid w:val="00F83878"/>
    <w:rsid w:val="00F83977"/>
    <w:rsid w:val="00F83980"/>
    <w:rsid w:val="00F83B29"/>
    <w:rsid w:val="00F83ECD"/>
    <w:rsid w:val="00F84068"/>
    <w:rsid w:val="00F840A3"/>
    <w:rsid w:val="00F84213"/>
    <w:rsid w:val="00F845B8"/>
    <w:rsid w:val="00F84A65"/>
    <w:rsid w:val="00F84A6A"/>
    <w:rsid w:val="00F84B47"/>
    <w:rsid w:val="00F84B84"/>
    <w:rsid w:val="00F84D9F"/>
    <w:rsid w:val="00F84F97"/>
    <w:rsid w:val="00F85019"/>
    <w:rsid w:val="00F85284"/>
    <w:rsid w:val="00F8528A"/>
    <w:rsid w:val="00F852C6"/>
    <w:rsid w:val="00F8547F"/>
    <w:rsid w:val="00F8560B"/>
    <w:rsid w:val="00F85616"/>
    <w:rsid w:val="00F85699"/>
    <w:rsid w:val="00F85EAF"/>
    <w:rsid w:val="00F85F91"/>
    <w:rsid w:val="00F85FB1"/>
    <w:rsid w:val="00F85FCA"/>
    <w:rsid w:val="00F86156"/>
    <w:rsid w:val="00F86276"/>
    <w:rsid w:val="00F8655A"/>
    <w:rsid w:val="00F86ADB"/>
    <w:rsid w:val="00F86D3D"/>
    <w:rsid w:val="00F87052"/>
    <w:rsid w:val="00F87092"/>
    <w:rsid w:val="00F8725D"/>
    <w:rsid w:val="00F87718"/>
    <w:rsid w:val="00F87DD8"/>
    <w:rsid w:val="00F9007B"/>
    <w:rsid w:val="00F9007F"/>
    <w:rsid w:val="00F901F8"/>
    <w:rsid w:val="00F9090B"/>
    <w:rsid w:val="00F90959"/>
    <w:rsid w:val="00F90C47"/>
    <w:rsid w:val="00F90F8D"/>
    <w:rsid w:val="00F90FCB"/>
    <w:rsid w:val="00F9116A"/>
    <w:rsid w:val="00F91217"/>
    <w:rsid w:val="00F91D60"/>
    <w:rsid w:val="00F91FFD"/>
    <w:rsid w:val="00F92336"/>
    <w:rsid w:val="00F924E2"/>
    <w:rsid w:val="00F925CE"/>
    <w:rsid w:val="00F92760"/>
    <w:rsid w:val="00F928DC"/>
    <w:rsid w:val="00F92B4C"/>
    <w:rsid w:val="00F92BEC"/>
    <w:rsid w:val="00F92CFB"/>
    <w:rsid w:val="00F92D27"/>
    <w:rsid w:val="00F92DC2"/>
    <w:rsid w:val="00F935A0"/>
    <w:rsid w:val="00F9381E"/>
    <w:rsid w:val="00F93A6F"/>
    <w:rsid w:val="00F93B71"/>
    <w:rsid w:val="00F93B72"/>
    <w:rsid w:val="00F93F3E"/>
    <w:rsid w:val="00F9412A"/>
    <w:rsid w:val="00F94132"/>
    <w:rsid w:val="00F94184"/>
    <w:rsid w:val="00F94306"/>
    <w:rsid w:val="00F94341"/>
    <w:rsid w:val="00F94814"/>
    <w:rsid w:val="00F948FE"/>
    <w:rsid w:val="00F94A11"/>
    <w:rsid w:val="00F952D6"/>
    <w:rsid w:val="00F95582"/>
    <w:rsid w:val="00F9594B"/>
    <w:rsid w:val="00F95A2A"/>
    <w:rsid w:val="00F95B3A"/>
    <w:rsid w:val="00F960BA"/>
    <w:rsid w:val="00F961A8"/>
    <w:rsid w:val="00F965F3"/>
    <w:rsid w:val="00F968F9"/>
    <w:rsid w:val="00F96ABF"/>
    <w:rsid w:val="00F96C88"/>
    <w:rsid w:val="00F96E5F"/>
    <w:rsid w:val="00F9731F"/>
    <w:rsid w:val="00F973AA"/>
    <w:rsid w:val="00F975D9"/>
    <w:rsid w:val="00F97C6F"/>
    <w:rsid w:val="00F97FB5"/>
    <w:rsid w:val="00F97FFC"/>
    <w:rsid w:val="00FA023A"/>
    <w:rsid w:val="00FA0683"/>
    <w:rsid w:val="00FA07A1"/>
    <w:rsid w:val="00FA08B6"/>
    <w:rsid w:val="00FA09F7"/>
    <w:rsid w:val="00FA0C8F"/>
    <w:rsid w:val="00FA0DB4"/>
    <w:rsid w:val="00FA0DE3"/>
    <w:rsid w:val="00FA0E4F"/>
    <w:rsid w:val="00FA0FF9"/>
    <w:rsid w:val="00FA1268"/>
    <w:rsid w:val="00FA161B"/>
    <w:rsid w:val="00FA1A37"/>
    <w:rsid w:val="00FA1E42"/>
    <w:rsid w:val="00FA20AC"/>
    <w:rsid w:val="00FA20CE"/>
    <w:rsid w:val="00FA26C3"/>
    <w:rsid w:val="00FA26CD"/>
    <w:rsid w:val="00FA2850"/>
    <w:rsid w:val="00FA2913"/>
    <w:rsid w:val="00FA2A9C"/>
    <w:rsid w:val="00FA3B80"/>
    <w:rsid w:val="00FA3C42"/>
    <w:rsid w:val="00FA3E8F"/>
    <w:rsid w:val="00FA4090"/>
    <w:rsid w:val="00FA412F"/>
    <w:rsid w:val="00FA429A"/>
    <w:rsid w:val="00FA4385"/>
    <w:rsid w:val="00FA477D"/>
    <w:rsid w:val="00FA4780"/>
    <w:rsid w:val="00FA4799"/>
    <w:rsid w:val="00FA4B77"/>
    <w:rsid w:val="00FA4C23"/>
    <w:rsid w:val="00FA4C41"/>
    <w:rsid w:val="00FA5064"/>
    <w:rsid w:val="00FA51D3"/>
    <w:rsid w:val="00FA521B"/>
    <w:rsid w:val="00FA546B"/>
    <w:rsid w:val="00FA5474"/>
    <w:rsid w:val="00FA5703"/>
    <w:rsid w:val="00FA5910"/>
    <w:rsid w:val="00FA5D3A"/>
    <w:rsid w:val="00FA5D72"/>
    <w:rsid w:val="00FA6105"/>
    <w:rsid w:val="00FA6551"/>
    <w:rsid w:val="00FA6DA6"/>
    <w:rsid w:val="00FA703F"/>
    <w:rsid w:val="00FA7266"/>
    <w:rsid w:val="00FA7ADA"/>
    <w:rsid w:val="00FA7BCE"/>
    <w:rsid w:val="00FA7C3C"/>
    <w:rsid w:val="00FA7E62"/>
    <w:rsid w:val="00FAB84B"/>
    <w:rsid w:val="00FB03C0"/>
    <w:rsid w:val="00FB0496"/>
    <w:rsid w:val="00FB05B2"/>
    <w:rsid w:val="00FB0646"/>
    <w:rsid w:val="00FB1366"/>
    <w:rsid w:val="00FB13D0"/>
    <w:rsid w:val="00FB140B"/>
    <w:rsid w:val="00FB1906"/>
    <w:rsid w:val="00FB19EB"/>
    <w:rsid w:val="00FB1D36"/>
    <w:rsid w:val="00FB1E08"/>
    <w:rsid w:val="00FB2183"/>
    <w:rsid w:val="00FB2932"/>
    <w:rsid w:val="00FB29F8"/>
    <w:rsid w:val="00FB2C13"/>
    <w:rsid w:val="00FB2F0C"/>
    <w:rsid w:val="00FB3099"/>
    <w:rsid w:val="00FB3365"/>
    <w:rsid w:val="00FB365E"/>
    <w:rsid w:val="00FB378D"/>
    <w:rsid w:val="00FB3A76"/>
    <w:rsid w:val="00FB3FFB"/>
    <w:rsid w:val="00FB40B2"/>
    <w:rsid w:val="00FB4143"/>
    <w:rsid w:val="00FB45D0"/>
    <w:rsid w:val="00FB4A7A"/>
    <w:rsid w:val="00FB4EEE"/>
    <w:rsid w:val="00FB50A4"/>
    <w:rsid w:val="00FB54DD"/>
    <w:rsid w:val="00FB5848"/>
    <w:rsid w:val="00FB594A"/>
    <w:rsid w:val="00FB5A98"/>
    <w:rsid w:val="00FB5B2B"/>
    <w:rsid w:val="00FB5B5B"/>
    <w:rsid w:val="00FB614E"/>
    <w:rsid w:val="00FB61D6"/>
    <w:rsid w:val="00FB644D"/>
    <w:rsid w:val="00FB64C0"/>
    <w:rsid w:val="00FB6579"/>
    <w:rsid w:val="00FB65E4"/>
    <w:rsid w:val="00FB6600"/>
    <w:rsid w:val="00FB6A6D"/>
    <w:rsid w:val="00FB6C2F"/>
    <w:rsid w:val="00FB6C9B"/>
    <w:rsid w:val="00FB6F3B"/>
    <w:rsid w:val="00FB78B7"/>
    <w:rsid w:val="00FB7A74"/>
    <w:rsid w:val="00FB7B7B"/>
    <w:rsid w:val="00FB7DFC"/>
    <w:rsid w:val="00FC0113"/>
    <w:rsid w:val="00FC0363"/>
    <w:rsid w:val="00FC03C2"/>
    <w:rsid w:val="00FC05F9"/>
    <w:rsid w:val="00FC0828"/>
    <w:rsid w:val="00FC08A7"/>
    <w:rsid w:val="00FC1125"/>
    <w:rsid w:val="00FC114C"/>
    <w:rsid w:val="00FC118A"/>
    <w:rsid w:val="00FC11B4"/>
    <w:rsid w:val="00FC1ACD"/>
    <w:rsid w:val="00FC1B0C"/>
    <w:rsid w:val="00FC1F6A"/>
    <w:rsid w:val="00FC20FE"/>
    <w:rsid w:val="00FC260E"/>
    <w:rsid w:val="00FC2853"/>
    <w:rsid w:val="00FC29FE"/>
    <w:rsid w:val="00FC2AC7"/>
    <w:rsid w:val="00FC2AFA"/>
    <w:rsid w:val="00FC2B97"/>
    <w:rsid w:val="00FC2C0D"/>
    <w:rsid w:val="00FC2C15"/>
    <w:rsid w:val="00FC2DD1"/>
    <w:rsid w:val="00FC330F"/>
    <w:rsid w:val="00FC33CF"/>
    <w:rsid w:val="00FC34DB"/>
    <w:rsid w:val="00FC3635"/>
    <w:rsid w:val="00FC3AF6"/>
    <w:rsid w:val="00FC3BD0"/>
    <w:rsid w:val="00FC3CD0"/>
    <w:rsid w:val="00FC3CED"/>
    <w:rsid w:val="00FC3EBB"/>
    <w:rsid w:val="00FC4251"/>
    <w:rsid w:val="00FC441B"/>
    <w:rsid w:val="00FC4521"/>
    <w:rsid w:val="00FC48AD"/>
    <w:rsid w:val="00FC495C"/>
    <w:rsid w:val="00FC4AEF"/>
    <w:rsid w:val="00FC4F94"/>
    <w:rsid w:val="00FC4FD9"/>
    <w:rsid w:val="00FC5037"/>
    <w:rsid w:val="00FC525E"/>
    <w:rsid w:val="00FC52DB"/>
    <w:rsid w:val="00FC5412"/>
    <w:rsid w:val="00FC5713"/>
    <w:rsid w:val="00FC59D7"/>
    <w:rsid w:val="00FC5B9E"/>
    <w:rsid w:val="00FC5D6B"/>
    <w:rsid w:val="00FC6133"/>
    <w:rsid w:val="00FC628C"/>
    <w:rsid w:val="00FC6346"/>
    <w:rsid w:val="00FC63AF"/>
    <w:rsid w:val="00FC64C2"/>
    <w:rsid w:val="00FC681E"/>
    <w:rsid w:val="00FC6AB5"/>
    <w:rsid w:val="00FC6E0A"/>
    <w:rsid w:val="00FC7461"/>
    <w:rsid w:val="00FC7508"/>
    <w:rsid w:val="00FC7AB6"/>
    <w:rsid w:val="00FC7BE6"/>
    <w:rsid w:val="00FC7BFE"/>
    <w:rsid w:val="00FC7CB1"/>
    <w:rsid w:val="00FC7D98"/>
    <w:rsid w:val="00FC7E92"/>
    <w:rsid w:val="00FC7FB0"/>
    <w:rsid w:val="00FD0034"/>
    <w:rsid w:val="00FD0055"/>
    <w:rsid w:val="00FD0253"/>
    <w:rsid w:val="00FD05B2"/>
    <w:rsid w:val="00FD071F"/>
    <w:rsid w:val="00FD08D4"/>
    <w:rsid w:val="00FD08E9"/>
    <w:rsid w:val="00FD0ACF"/>
    <w:rsid w:val="00FD10D9"/>
    <w:rsid w:val="00FD11FE"/>
    <w:rsid w:val="00FD16AD"/>
    <w:rsid w:val="00FD16CD"/>
    <w:rsid w:val="00FD187E"/>
    <w:rsid w:val="00FD1C61"/>
    <w:rsid w:val="00FD2300"/>
    <w:rsid w:val="00FD24F3"/>
    <w:rsid w:val="00FD263C"/>
    <w:rsid w:val="00FD2E81"/>
    <w:rsid w:val="00FD3155"/>
    <w:rsid w:val="00FD331C"/>
    <w:rsid w:val="00FD359A"/>
    <w:rsid w:val="00FD3992"/>
    <w:rsid w:val="00FD39D4"/>
    <w:rsid w:val="00FD3B2E"/>
    <w:rsid w:val="00FD3C23"/>
    <w:rsid w:val="00FD4013"/>
    <w:rsid w:val="00FD42CA"/>
    <w:rsid w:val="00FD442A"/>
    <w:rsid w:val="00FD467E"/>
    <w:rsid w:val="00FD48C1"/>
    <w:rsid w:val="00FD4B11"/>
    <w:rsid w:val="00FD4CBC"/>
    <w:rsid w:val="00FD51A7"/>
    <w:rsid w:val="00FD55C7"/>
    <w:rsid w:val="00FD563E"/>
    <w:rsid w:val="00FD570A"/>
    <w:rsid w:val="00FD5A63"/>
    <w:rsid w:val="00FD5C00"/>
    <w:rsid w:val="00FD5C58"/>
    <w:rsid w:val="00FD5F53"/>
    <w:rsid w:val="00FD6026"/>
    <w:rsid w:val="00FD610B"/>
    <w:rsid w:val="00FD622C"/>
    <w:rsid w:val="00FD6474"/>
    <w:rsid w:val="00FD673E"/>
    <w:rsid w:val="00FD6969"/>
    <w:rsid w:val="00FD699E"/>
    <w:rsid w:val="00FD6B6C"/>
    <w:rsid w:val="00FD6DE0"/>
    <w:rsid w:val="00FD6E4B"/>
    <w:rsid w:val="00FD7371"/>
    <w:rsid w:val="00FD7CBF"/>
    <w:rsid w:val="00FD7CF9"/>
    <w:rsid w:val="00FD7CFC"/>
    <w:rsid w:val="00FD7F43"/>
    <w:rsid w:val="00FD7F78"/>
    <w:rsid w:val="00FD7F89"/>
    <w:rsid w:val="00FE032A"/>
    <w:rsid w:val="00FE0506"/>
    <w:rsid w:val="00FE0783"/>
    <w:rsid w:val="00FE088E"/>
    <w:rsid w:val="00FE08A4"/>
    <w:rsid w:val="00FE0922"/>
    <w:rsid w:val="00FE0958"/>
    <w:rsid w:val="00FE0C25"/>
    <w:rsid w:val="00FE0E01"/>
    <w:rsid w:val="00FE0E25"/>
    <w:rsid w:val="00FE0FC7"/>
    <w:rsid w:val="00FE0FCA"/>
    <w:rsid w:val="00FE113C"/>
    <w:rsid w:val="00FE1361"/>
    <w:rsid w:val="00FE19C3"/>
    <w:rsid w:val="00FE1C03"/>
    <w:rsid w:val="00FE1C08"/>
    <w:rsid w:val="00FE23DA"/>
    <w:rsid w:val="00FE2465"/>
    <w:rsid w:val="00FE25BA"/>
    <w:rsid w:val="00FE25E1"/>
    <w:rsid w:val="00FE28DA"/>
    <w:rsid w:val="00FE2A98"/>
    <w:rsid w:val="00FE2D9A"/>
    <w:rsid w:val="00FE30CF"/>
    <w:rsid w:val="00FE3292"/>
    <w:rsid w:val="00FE3373"/>
    <w:rsid w:val="00FE35AA"/>
    <w:rsid w:val="00FE35B8"/>
    <w:rsid w:val="00FE35C6"/>
    <w:rsid w:val="00FE3759"/>
    <w:rsid w:val="00FE3A4A"/>
    <w:rsid w:val="00FE3C29"/>
    <w:rsid w:val="00FE3F41"/>
    <w:rsid w:val="00FE4152"/>
    <w:rsid w:val="00FE4841"/>
    <w:rsid w:val="00FE48A8"/>
    <w:rsid w:val="00FE48E3"/>
    <w:rsid w:val="00FE4AFB"/>
    <w:rsid w:val="00FE4BA6"/>
    <w:rsid w:val="00FE5338"/>
    <w:rsid w:val="00FE562A"/>
    <w:rsid w:val="00FE5665"/>
    <w:rsid w:val="00FE58F9"/>
    <w:rsid w:val="00FE5BF9"/>
    <w:rsid w:val="00FE5D30"/>
    <w:rsid w:val="00FE60AC"/>
    <w:rsid w:val="00FE644D"/>
    <w:rsid w:val="00FE66AE"/>
    <w:rsid w:val="00FE692B"/>
    <w:rsid w:val="00FE6A7C"/>
    <w:rsid w:val="00FE6E5F"/>
    <w:rsid w:val="00FE70EE"/>
    <w:rsid w:val="00FE7115"/>
    <w:rsid w:val="00FE7257"/>
    <w:rsid w:val="00FE74E3"/>
    <w:rsid w:val="00FE7592"/>
    <w:rsid w:val="00FE7683"/>
    <w:rsid w:val="00FE7E05"/>
    <w:rsid w:val="00FE7F98"/>
    <w:rsid w:val="00FF039C"/>
    <w:rsid w:val="00FF0605"/>
    <w:rsid w:val="00FF0640"/>
    <w:rsid w:val="00FF069C"/>
    <w:rsid w:val="00FF087A"/>
    <w:rsid w:val="00FF08C5"/>
    <w:rsid w:val="00FF0A88"/>
    <w:rsid w:val="00FF0AA6"/>
    <w:rsid w:val="00FF0D11"/>
    <w:rsid w:val="00FF0D89"/>
    <w:rsid w:val="00FF0F72"/>
    <w:rsid w:val="00FF1002"/>
    <w:rsid w:val="00FF11FC"/>
    <w:rsid w:val="00FF16C8"/>
    <w:rsid w:val="00FF1A90"/>
    <w:rsid w:val="00FF1AD2"/>
    <w:rsid w:val="00FF1CCB"/>
    <w:rsid w:val="00FF1DBD"/>
    <w:rsid w:val="00FF216D"/>
    <w:rsid w:val="00FF26DA"/>
    <w:rsid w:val="00FF27F9"/>
    <w:rsid w:val="00FF2A00"/>
    <w:rsid w:val="00FF2BA1"/>
    <w:rsid w:val="00FF2BC7"/>
    <w:rsid w:val="00FF2C69"/>
    <w:rsid w:val="00FF2FED"/>
    <w:rsid w:val="00FF329F"/>
    <w:rsid w:val="00FF32C7"/>
    <w:rsid w:val="00FF34DE"/>
    <w:rsid w:val="00FF3673"/>
    <w:rsid w:val="00FF3A7F"/>
    <w:rsid w:val="00FF3B9C"/>
    <w:rsid w:val="00FF3F4B"/>
    <w:rsid w:val="00FF3FD3"/>
    <w:rsid w:val="00FF3FF5"/>
    <w:rsid w:val="00FF43F4"/>
    <w:rsid w:val="00FF46F7"/>
    <w:rsid w:val="00FF4818"/>
    <w:rsid w:val="00FF482C"/>
    <w:rsid w:val="00FF4D80"/>
    <w:rsid w:val="00FF537D"/>
    <w:rsid w:val="00FF5467"/>
    <w:rsid w:val="00FF5512"/>
    <w:rsid w:val="00FF5A37"/>
    <w:rsid w:val="00FF5A64"/>
    <w:rsid w:val="00FF5E94"/>
    <w:rsid w:val="00FF5F0B"/>
    <w:rsid w:val="00FF60FD"/>
    <w:rsid w:val="00FF61C9"/>
    <w:rsid w:val="00FF66E6"/>
    <w:rsid w:val="00FF6814"/>
    <w:rsid w:val="00FF68B3"/>
    <w:rsid w:val="00FF68C9"/>
    <w:rsid w:val="00FF6976"/>
    <w:rsid w:val="00FF6CD4"/>
    <w:rsid w:val="00FF71AC"/>
    <w:rsid w:val="00FF7570"/>
    <w:rsid w:val="00FF79B9"/>
    <w:rsid w:val="00FF7A8C"/>
    <w:rsid w:val="00FF7B64"/>
    <w:rsid w:val="00FF7B76"/>
    <w:rsid w:val="00FF7CE8"/>
    <w:rsid w:val="0105E691"/>
    <w:rsid w:val="01641222"/>
    <w:rsid w:val="0181900A"/>
    <w:rsid w:val="019C8526"/>
    <w:rsid w:val="01D09992"/>
    <w:rsid w:val="01D8E75B"/>
    <w:rsid w:val="0213283E"/>
    <w:rsid w:val="024590C7"/>
    <w:rsid w:val="0290CBBD"/>
    <w:rsid w:val="029172CA"/>
    <w:rsid w:val="029FCD8F"/>
    <w:rsid w:val="02B6A510"/>
    <w:rsid w:val="02C6ACF4"/>
    <w:rsid w:val="02D303CB"/>
    <w:rsid w:val="02DD9DA3"/>
    <w:rsid w:val="02DE7B26"/>
    <w:rsid w:val="02EFDFEC"/>
    <w:rsid w:val="02F8267C"/>
    <w:rsid w:val="032B06D4"/>
    <w:rsid w:val="035A17EE"/>
    <w:rsid w:val="03628811"/>
    <w:rsid w:val="0374F6BC"/>
    <w:rsid w:val="03CDAA00"/>
    <w:rsid w:val="03E9D37F"/>
    <w:rsid w:val="03F6EF70"/>
    <w:rsid w:val="040CD792"/>
    <w:rsid w:val="041A60D2"/>
    <w:rsid w:val="0421B7F7"/>
    <w:rsid w:val="04795851"/>
    <w:rsid w:val="048C4F76"/>
    <w:rsid w:val="04B65C69"/>
    <w:rsid w:val="04BFB3A4"/>
    <w:rsid w:val="04F1FB6A"/>
    <w:rsid w:val="051F3478"/>
    <w:rsid w:val="0556650E"/>
    <w:rsid w:val="0563BDCF"/>
    <w:rsid w:val="056C318E"/>
    <w:rsid w:val="05740E9D"/>
    <w:rsid w:val="0578B125"/>
    <w:rsid w:val="05A1885E"/>
    <w:rsid w:val="05AB005C"/>
    <w:rsid w:val="05BB4BBF"/>
    <w:rsid w:val="05D665ED"/>
    <w:rsid w:val="05F313A3"/>
    <w:rsid w:val="05FBBA0D"/>
    <w:rsid w:val="0604A748"/>
    <w:rsid w:val="063C81AE"/>
    <w:rsid w:val="06602D96"/>
    <w:rsid w:val="067DA7E5"/>
    <w:rsid w:val="06834C47"/>
    <w:rsid w:val="06A45000"/>
    <w:rsid w:val="06AF67D4"/>
    <w:rsid w:val="06DA8538"/>
    <w:rsid w:val="0700EF3C"/>
    <w:rsid w:val="0710A42B"/>
    <w:rsid w:val="075BD5BC"/>
    <w:rsid w:val="07624363"/>
    <w:rsid w:val="076C8D95"/>
    <w:rsid w:val="0792C0C5"/>
    <w:rsid w:val="07AA421A"/>
    <w:rsid w:val="07BEC36B"/>
    <w:rsid w:val="07C1C187"/>
    <w:rsid w:val="07F9595A"/>
    <w:rsid w:val="081C176B"/>
    <w:rsid w:val="085A90CE"/>
    <w:rsid w:val="085E0627"/>
    <w:rsid w:val="08655EDD"/>
    <w:rsid w:val="08B18503"/>
    <w:rsid w:val="08C0BBF3"/>
    <w:rsid w:val="08D0C478"/>
    <w:rsid w:val="092701BE"/>
    <w:rsid w:val="093592C4"/>
    <w:rsid w:val="09490C43"/>
    <w:rsid w:val="094E9718"/>
    <w:rsid w:val="0974CC41"/>
    <w:rsid w:val="09874E40"/>
    <w:rsid w:val="0A0A065E"/>
    <w:rsid w:val="0A296E7E"/>
    <w:rsid w:val="0A5C5D67"/>
    <w:rsid w:val="0AD1AD22"/>
    <w:rsid w:val="0B01ACF4"/>
    <w:rsid w:val="0B11DE96"/>
    <w:rsid w:val="0B1D3E54"/>
    <w:rsid w:val="0B1FC946"/>
    <w:rsid w:val="0B3F9FCB"/>
    <w:rsid w:val="0B4FA6A8"/>
    <w:rsid w:val="0B554FB1"/>
    <w:rsid w:val="0B8E19B5"/>
    <w:rsid w:val="0BAC1759"/>
    <w:rsid w:val="0BBD2B78"/>
    <w:rsid w:val="0BC7F8C8"/>
    <w:rsid w:val="0BD56A64"/>
    <w:rsid w:val="0BEA46C2"/>
    <w:rsid w:val="0BF4A5A2"/>
    <w:rsid w:val="0BF6400B"/>
    <w:rsid w:val="0C696F17"/>
    <w:rsid w:val="0C79D972"/>
    <w:rsid w:val="0CF78453"/>
    <w:rsid w:val="0D0B3738"/>
    <w:rsid w:val="0D2B820A"/>
    <w:rsid w:val="0D2D39DC"/>
    <w:rsid w:val="0D739172"/>
    <w:rsid w:val="0D86BA20"/>
    <w:rsid w:val="0D93D718"/>
    <w:rsid w:val="0D9D6912"/>
    <w:rsid w:val="0DB734AD"/>
    <w:rsid w:val="0DC333E9"/>
    <w:rsid w:val="0DC833C5"/>
    <w:rsid w:val="0DCB13F4"/>
    <w:rsid w:val="0DE35CE8"/>
    <w:rsid w:val="0DE41F79"/>
    <w:rsid w:val="0E00C326"/>
    <w:rsid w:val="0E19B939"/>
    <w:rsid w:val="0E1E77BE"/>
    <w:rsid w:val="0E3309CE"/>
    <w:rsid w:val="0E657244"/>
    <w:rsid w:val="0E80F3FC"/>
    <w:rsid w:val="0E96A590"/>
    <w:rsid w:val="0EC48F39"/>
    <w:rsid w:val="0EF04210"/>
    <w:rsid w:val="0F2EBFB6"/>
    <w:rsid w:val="0F418D4A"/>
    <w:rsid w:val="0F597208"/>
    <w:rsid w:val="0F62948B"/>
    <w:rsid w:val="0F841115"/>
    <w:rsid w:val="0F997CA7"/>
    <w:rsid w:val="0F9AE36D"/>
    <w:rsid w:val="0F9D62A0"/>
    <w:rsid w:val="0FA93194"/>
    <w:rsid w:val="0FC37597"/>
    <w:rsid w:val="0FE08480"/>
    <w:rsid w:val="0FF0A2F6"/>
    <w:rsid w:val="1031AAA9"/>
    <w:rsid w:val="10358F00"/>
    <w:rsid w:val="1050DA73"/>
    <w:rsid w:val="1086BCBA"/>
    <w:rsid w:val="1087DC5D"/>
    <w:rsid w:val="10DBAE1F"/>
    <w:rsid w:val="11003135"/>
    <w:rsid w:val="112D8318"/>
    <w:rsid w:val="11352ACE"/>
    <w:rsid w:val="113F62A8"/>
    <w:rsid w:val="11534029"/>
    <w:rsid w:val="116FB347"/>
    <w:rsid w:val="117475DA"/>
    <w:rsid w:val="119732B7"/>
    <w:rsid w:val="11C1F175"/>
    <w:rsid w:val="11C254E1"/>
    <w:rsid w:val="11C506B2"/>
    <w:rsid w:val="11D303A8"/>
    <w:rsid w:val="11D97331"/>
    <w:rsid w:val="1214625C"/>
    <w:rsid w:val="123D182C"/>
    <w:rsid w:val="125824A8"/>
    <w:rsid w:val="1297868B"/>
    <w:rsid w:val="12998BD2"/>
    <w:rsid w:val="12ADBF24"/>
    <w:rsid w:val="12C33D4D"/>
    <w:rsid w:val="12DD69C5"/>
    <w:rsid w:val="1308FDD5"/>
    <w:rsid w:val="1382462B"/>
    <w:rsid w:val="138AF01C"/>
    <w:rsid w:val="14593F09"/>
    <w:rsid w:val="145FE507"/>
    <w:rsid w:val="1461D915"/>
    <w:rsid w:val="14733847"/>
    <w:rsid w:val="14998B27"/>
    <w:rsid w:val="14999334"/>
    <w:rsid w:val="14B34808"/>
    <w:rsid w:val="14CB472F"/>
    <w:rsid w:val="14DCC007"/>
    <w:rsid w:val="1549A62D"/>
    <w:rsid w:val="15509021"/>
    <w:rsid w:val="156EFB6D"/>
    <w:rsid w:val="1588B0E6"/>
    <w:rsid w:val="158AF3AC"/>
    <w:rsid w:val="15CDF337"/>
    <w:rsid w:val="15E7A362"/>
    <w:rsid w:val="160CACA1"/>
    <w:rsid w:val="1611A396"/>
    <w:rsid w:val="16560A6B"/>
    <w:rsid w:val="165A460F"/>
    <w:rsid w:val="16A1DF9B"/>
    <w:rsid w:val="16BAE2E9"/>
    <w:rsid w:val="16BB9B08"/>
    <w:rsid w:val="172B9629"/>
    <w:rsid w:val="17517775"/>
    <w:rsid w:val="175C4DC1"/>
    <w:rsid w:val="175E289A"/>
    <w:rsid w:val="178267BD"/>
    <w:rsid w:val="17AA3960"/>
    <w:rsid w:val="17C1F9BC"/>
    <w:rsid w:val="17C793BF"/>
    <w:rsid w:val="1856F158"/>
    <w:rsid w:val="1896B4D9"/>
    <w:rsid w:val="18A87DE9"/>
    <w:rsid w:val="19044D57"/>
    <w:rsid w:val="19055137"/>
    <w:rsid w:val="192A4FA8"/>
    <w:rsid w:val="19311927"/>
    <w:rsid w:val="193E5F95"/>
    <w:rsid w:val="194BBAE5"/>
    <w:rsid w:val="195E6977"/>
    <w:rsid w:val="1963A1F9"/>
    <w:rsid w:val="197BBA71"/>
    <w:rsid w:val="19815F49"/>
    <w:rsid w:val="1989C358"/>
    <w:rsid w:val="199452E6"/>
    <w:rsid w:val="199D4C38"/>
    <w:rsid w:val="19A27598"/>
    <w:rsid w:val="19CD7CD8"/>
    <w:rsid w:val="19D864ED"/>
    <w:rsid w:val="19E2474A"/>
    <w:rsid w:val="19E27680"/>
    <w:rsid w:val="19E4A2F3"/>
    <w:rsid w:val="19EC69B5"/>
    <w:rsid w:val="19EFC4AA"/>
    <w:rsid w:val="19F2FAF8"/>
    <w:rsid w:val="19F5A51A"/>
    <w:rsid w:val="1A08B41D"/>
    <w:rsid w:val="1A21ACC1"/>
    <w:rsid w:val="1A33DDA8"/>
    <w:rsid w:val="1AB48F7A"/>
    <w:rsid w:val="1AD3E7B1"/>
    <w:rsid w:val="1AD6A77B"/>
    <w:rsid w:val="1B15BB4A"/>
    <w:rsid w:val="1B2DD797"/>
    <w:rsid w:val="1B323805"/>
    <w:rsid w:val="1B6096C5"/>
    <w:rsid w:val="1BC0AB46"/>
    <w:rsid w:val="1BCD14B8"/>
    <w:rsid w:val="1BD56A6A"/>
    <w:rsid w:val="1BD6C95E"/>
    <w:rsid w:val="1C017EC1"/>
    <w:rsid w:val="1C39A629"/>
    <w:rsid w:val="1C4B2A26"/>
    <w:rsid w:val="1C636212"/>
    <w:rsid w:val="1C65DF40"/>
    <w:rsid w:val="1C6E3445"/>
    <w:rsid w:val="1C750941"/>
    <w:rsid w:val="1C85C497"/>
    <w:rsid w:val="1C8BB987"/>
    <w:rsid w:val="1CAD3FDE"/>
    <w:rsid w:val="1CED97B3"/>
    <w:rsid w:val="1CF1B5ED"/>
    <w:rsid w:val="1CF3C292"/>
    <w:rsid w:val="1D06FB4A"/>
    <w:rsid w:val="1D17E20E"/>
    <w:rsid w:val="1D316702"/>
    <w:rsid w:val="1D3F19FE"/>
    <w:rsid w:val="1D6D923C"/>
    <w:rsid w:val="1D74931C"/>
    <w:rsid w:val="1DB73D6F"/>
    <w:rsid w:val="1DB8B566"/>
    <w:rsid w:val="1DD622C7"/>
    <w:rsid w:val="1E0F2A0D"/>
    <w:rsid w:val="1E19E98E"/>
    <w:rsid w:val="1E35447B"/>
    <w:rsid w:val="1E3558AB"/>
    <w:rsid w:val="1E599DC3"/>
    <w:rsid w:val="1E62BAD0"/>
    <w:rsid w:val="1E640785"/>
    <w:rsid w:val="1E71BC1B"/>
    <w:rsid w:val="1E774609"/>
    <w:rsid w:val="1EBEA3B6"/>
    <w:rsid w:val="1EC5279A"/>
    <w:rsid w:val="1ECAB255"/>
    <w:rsid w:val="1EFF74B6"/>
    <w:rsid w:val="1F2C1726"/>
    <w:rsid w:val="1F32FF37"/>
    <w:rsid w:val="1F484870"/>
    <w:rsid w:val="1F7089C5"/>
    <w:rsid w:val="1F8BA0DD"/>
    <w:rsid w:val="1FB36FD2"/>
    <w:rsid w:val="205B91E9"/>
    <w:rsid w:val="208AF73E"/>
    <w:rsid w:val="20901AB2"/>
    <w:rsid w:val="20AD7C60"/>
    <w:rsid w:val="20CA50FF"/>
    <w:rsid w:val="20DDE654"/>
    <w:rsid w:val="20F585D2"/>
    <w:rsid w:val="21355F52"/>
    <w:rsid w:val="2143DCCD"/>
    <w:rsid w:val="2162F03C"/>
    <w:rsid w:val="219D348A"/>
    <w:rsid w:val="21B0069D"/>
    <w:rsid w:val="2215794D"/>
    <w:rsid w:val="2244634B"/>
    <w:rsid w:val="2246B067"/>
    <w:rsid w:val="224FC388"/>
    <w:rsid w:val="226B2CA3"/>
    <w:rsid w:val="227F5DE7"/>
    <w:rsid w:val="227FEF32"/>
    <w:rsid w:val="2282EA79"/>
    <w:rsid w:val="22911914"/>
    <w:rsid w:val="22976EA6"/>
    <w:rsid w:val="229D054E"/>
    <w:rsid w:val="22A7F56F"/>
    <w:rsid w:val="233461E6"/>
    <w:rsid w:val="233C07D1"/>
    <w:rsid w:val="23478342"/>
    <w:rsid w:val="23D42841"/>
    <w:rsid w:val="23E239B9"/>
    <w:rsid w:val="23F260DB"/>
    <w:rsid w:val="2414966B"/>
    <w:rsid w:val="241C7117"/>
    <w:rsid w:val="242A25EB"/>
    <w:rsid w:val="244A81FE"/>
    <w:rsid w:val="2481F116"/>
    <w:rsid w:val="24E22629"/>
    <w:rsid w:val="2542E43D"/>
    <w:rsid w:val="25DA5643"/>
    <w:rsid w:val="264F6943"/>
    <w:rsid w:val="269C9241"/>
    <w:rsid w:val="269DDD91"/>
    <w:rsid w:val="26A6BCFA"/>
    <w:rsid w:val="26B1D78F"/>
    <w:rsid w:val="26F957D3"/>
    <w:rsid w:val="27535990"/>
    <w:rsid w:val="275A9757"/>
    <w:rsid w:val="275C6B00"/>
    <w:rsid w:val="27CC31BE"/>
    <w:rsid w:val="27CE41E5"/>
    <w:rsid w:val="27E857D0"/>
    <w:rsid w:val="280C51A6"/>
    <w:rsid w:val="2810583E"/>
    <w:rsid w:val="286E3E40"/>
    <w:rsid w:val="28A188DF"/>
    <w:rsid w:val="28A3A329"/>
    <w:rsid w:val="28C5C04D"/>
    <w:rsid w:val="28D2E288"/>
    <w:rsid w:val="28D30833"/>
    <w:rsid w:val="28D979B6"/>
    <w:rsid w:val="28DED093"/>
    <w:rsid w:val="2900BAD0"/>
    <w:rsid w:val="291DAB8B"/>
    <w:rsid w:val="292A61B5"/>
    <w:rsid w:val="292EC774"/>
    <w:rsid w:val="2981E63A"/>
    <w:rsid w:val="298DE5B5"/>
    <w:rsid w:val="29BDC342"/>
    <w:rsid w:val="29D2ABA4"/>
    <w:rsid w:val="29E0ECBB"/>
    <w:rsid w:val="29FA131F"/>
    <w:rsid w:val="2A199953"/>
    <w:rsid w:val="2A6562B7"/>
    <w:rsid w:val="2A807106"/>
    <w:rsid w:val="2A8BEC27"/>
    <w:rsid w:val="2A9F9F31"/>
    <w:rsid w:val="2B04B26A"/>
    <w:rsid w:val="2B0752EC"/>
    <w:rsid w:val="2B232199"/>
    <w:rsid w:val="2B2772B4"/>
    <w:rsid w:val="2B368DD8"/>
    <w:rsid w:val="2B449BA4"/>
    <w:rsid w:val="2B546F07"/>
    <w:rsid w:val="2B927495"/>
    <w:rsid w:val="2B94DCE6"/>
    <w:rsid w:val="2BB69925"/>
    <w:rsid w:val="2C2BA45B"/>
    <w:rsid w:val="2C374027"/>
    <w:rsid w:val="2C50F7A1"/>
    <w:rsid w:val="2C5B7EF9"/>
    <w:rsid w:val="2C7CEE9F"/>
    <w:rsid w:val="2C884076"/>
    <w:rsid w:val="2C8FC454"/>
    <w:rsid w:val="2CA987BE"/>
    <w:rsid w:val="2CC8677A"/>
    <w:rsid w:val="2D24C63A"/>
    <w:rsid w:val="2D6D4FC9"/>
    <w:rsid w:val="2D9B747F"/>
    <w:rsid w:val="2DD0E73B"/>
    <w:rsid w:val="2E140F4D"/>
    <w:rsid w:val="2E14F7BD"/>
    <w:rsid w:val="2E821B21"/>
    <w:rsid w:val="2E8558D1"/>
    <w:rsid w:val="2EBCD382"/>
    <w:rsid w:val="2EBE7B60"/>
    <w:rsid w:val="2EC28078"/>
    <w:rsid w:val="2ED2D3B6"/>
    <w:rsid w:val="2EDA36D8"/>
    <w:rsid w:val="2EDD499D"/>
    <w:rsid w:val="2EFCE310"/>
    <w:rsid w:val="2F474266"/>
    <w:rsid w:val="2F4A083D"/>
    <w:rsid w:val="2F51A312"/>
    <w:rsid w:val="2F698D98"/>
    <w:rsid w:val="2F6B6514"/>
    <w:rsid w:val="2F9AE929"/>
    <w:rsid w:val="2FBF66FE"/>
    <w:rsid w:val="3009AC12"/>
    <w:rsid w:val="302B9FF8"/>
    <w:rsid w:val="3050EC92"/>
    <w:rsid w:val="309774F3"/>
    <w:rsid w:val="309BF61C"/>
    <w:rsid w:val="30B74835"/>
    <w:rsid w:val="30E79323"/>
    <w:rsid w:val="3118A397"/>
    <w:rsid w:val="31496254"/>
    <w:rsid w:val="316D4CB9"/>
    <w:rsid w:val="316DA834"/>
    <w:rsid w:val="32152384"/>
    <w:rsid w:val="3239627B"/>
    <w:rsid w:val="32514DA0"/>
    <w:rsid w:val="32AFFB0D"/>
    <w:rsid w:val="32BCF91A"/>
    <w:rsid w:val="32D72061"/>
    <w:rsid w:val="32FE4075"/>
    <w:rsid w:val="337E644E"/>
    <w:rsid w:val="33A47A13"/>
    <w:rsid w:val="33CD99CC"/>
    <w:rsid w:val="3424CE74"/>
    <w:rsid w:val="345599AD"/>
    <w:rsid w:val="3455AF78"/>
    <w:rsid w:val="346F38EB"/>
    <w:rsid w:val="34E04FAD"/>
    <w:rsid w:val="34ED97CC"/>
    <w:rsid w:val="35188E7F"/>
    <w:rsid w:val="3525D9F2"/>
    <w:rsid w:val="357C91D4"/>
    <w:rsid w:val="358E6E59"/>
    <w:rsid w:val="35CF1E8B"/>
    <w:rsid w:val="36182A91"/>
    <w:rsid w:val="36388A1B"/>
    <w:rsid w:val="36567328"/>
    <w:rsid w:val="367CC66B"/>
    <w:rsid w:val="36C30265"/>
    <w:rsid w:val="370519B5"/>
    <w:rsid w:val="3722760D"/>
    <w:rsid w:val="37241A74"/>
    <w:rsid w:val="37798B8A"/>
    <w:rsid w:val="377BBCEB"/>
    <w:rsid w:val="379BD96B"/>
    <w:rsid w:val="37C903A0"/>
    <w:rsid w:val="381E183C"/>
    <w:rsid w:val="38223444"/>
    <w:rsid w:val="383408E0"/>
    <w:rsid w:val="384468B9"/>
    <w:rsid w:val="3845C786"/>
    <w:rsid w:val="3862AACE"/>
    <w:rsid w:val="38CADC23"/>
    <w:rsid w:val="38D16913"/>
    <w:rsid w:val="38D99E2B"/>
    <w:rsid w:val="38FBDE89"/>
    <w:rsid w:val="390ABD6B"/>
    <w:rsid w:val="390B8245"/>
    <w:rsid w:val="392E95EE"/>
    <w:rsid w:val="392FD118"/>
    <w:rsid w:val="3972DBB7"/>
    <w:rsid w:val="3982A49E"/>
    <w:rsid w:val="399C8A3E"/>
    <w:rsid w:val="3A5EE357"/>
    <w:rsid w:val="3A75BC10"/>
    <w:rsid w:val="3A7F7B22"/>
    <w:rsid w:val="3AA668CB"/>
    <w:rsid w:val="3AB87A6D"/>
    <w:rsid w:val="3AC70831"/>
    <w:rsid w:val="3AC817DD"/>
    <w:rsid w:val="3B6C7351"/>
    <w:rsid w:val="3B7B6C7F"/>
    <w:rsid w:val="3B801B5D"/>
    <w:rsid w:val="3B8463E4"/>
    <w:rsid w:val="3B890D9E"/>
    <w:rsid w:val="3BACB126"/>
    <w:rsid w:val="3BBC35AD"/>
    <w:rsid w:val="3BCC195D"/>
    <w:rsid w:val="3C08AB81"/>
    <w:rsid w:val="3C1E03E6"/>
    <w:rsid w:val="3C2A7896"/>
    <w:rsid w:val="3C2C16A3"/>
    <w:rsid w:val="3C4E5C7B"/>
    <w:rsid w:val="3C539160"/>
    <w:rsid w:val="3C599316"/>
    <w:rsid w:val="3C84B5B1"/>
    <w:rsid w:val="3C87C9DD"/>
    <w:rsid w:val="3CC46DE8"/>
    <w:rsid w:val="3CF1FABF"/>
    <w:rsid w:val="3D1F29CE"/>
    <w:rsid w:val="3D3AAEA7"/>
    <w:rsid w:val="3D429018"/>
    <w:rsid w:val="3D762F2E"/>
    <w:rsid w:val="3DC02C7E"/>
    <w:rsid w:val="3DD5CEFE"/>
    <w:rsid w:val="3DECA58D"/>
    <w:rsid w:val="3E305DDF"/>
    <w:rsid w:val="3E60BA06"/>
    <w:rsid w:val="3E8B77D7"/>
    <w:rsid w:val="3EB0EF83"/>
    <w:rsid w:val="3EB7719A"/>
    <w:rsid w:val="3F00D065"/>
    <w:rsid w:val="3F06C81E"/>
    <w:rsid w:val="3F41D4DC"/>
    <w:rsid w:val="3F429C2D"/>
    <w:rsid w:val="3F748892"/>
    <w:rsid w:val="3F97F1AD"/>
    <w:rsid w:val="3FA11331"/>
    <w:rsid w:val="3FA31479"/>
    <w:rsid w:val="3FD02ED0"/>
    <w:rsid w:val="401DAE43"/>
    <w:rsid w:val="40282BA0"/>
    <w:rsid w:val="403BAD89"/>
    <w:rsid w:val="4078B9B6"/>
    <w:rsid w:val="409F1AC5"/>
    <w:rsid w:val="40B3A626"/>
    <w:rsid w:val="40FF8158"/>
    <w:rsid w:val="411F08CC"/>
    <w:rsid w:val="41263CE5"/>
    <w:rsid w:val="412BB0D5"/>
    <w:rsid w:val="412EA2B0"/>
    <w:rsid w:val="412F23BB"/>
    <w:rsid w:val="41544038"/>
    <w:rsid w:val="4155CBE8"/>
    <w:rsid w:val="416D34DF"/>
    <w:rsid w:val="41968BA1"/>
    <w:rsid w:val="41A95B16"/>
    <w:rsid w:val="41C0175F"/>
    <w:rsid w:val="424D83EB"/>
    <w:rsid w:val="425A5F52"/>
    <w:rsid w:val="427BFBC9"/>
    <w:rsid w:val="427C2243"/>
    <w:rsid w:val="429E91BD"/>
    <w:rsid w:val="42CB21F2"/>
    <w:rsid w:val="42CE63EF"/>
    <w:rsid w:val="4308DFF5"/>
    <w:rsid w:val="430BC348"/>
    <w:rsid w:val="4337A1CE"/>
    <w:rsid w:val="435F2E89"/>
    <w:rsid w:val="437DFEA7"/>
    <w:rsid w:val="438060F6"/>
    <w:rsid w:val="43A6C84E"/>
    <w:rsid w:val="43B8ACF8"/>
    <w:rsid w:val="43D6D784"/>
    <w:rsid w:val="44086809"/>
    <w:rsid w:val="4411BFE4"/>
    <w:rsid w:val="4430FC2F"/>
    <w:rsid w:val="44437333"/>
    <w:rsid w:val="44ADB779"/>
    <w:rsid w:val="44C92B27"/>
    <w:rsid w:val="44DC00D3"/>
    <w:rsid w:val="44E6AF8B"/>
    <w:rsid w:val="4500455B"/>
    <w:rsid w:val="45014805"/>
    <w:rsid w:val="453C189D"/>
    <w:rsid w:val="4544A40B"/>
    <w:rsid w:val="45487647"/>
    <w:rsid w:val="45590071"/>
    <w:rsid w:val="4567E925"/>
    <w:rsid w:val="456D545A"/>
    <w:rsid w:val="45AD5B35"/>
    <w:rsid w:val="45FFF402"/>
    <w:rsid w:val="46019C71"/>
    <w:rsid w:val="4623E4AB"/>
    <w:rsid w:val="4640A030"/>
    <w:rsid w:val="46485B08"/>
    <w:rsid w:val="465F7197"/>
    <w:rsid w:val="467760EA"/>
    <w:rsid w:val="467D20FE"/>
    <w:rsid w:val="467F4633"/>
    <w:rsid w:val="46938B1F"/>
    <w:rsid w:val="4698BD30"/>
    <w:rsid w:val="469C8CA1"/>
    <w:rsid w:val="46A5C1B6"/>
    <w:rsid w:val="46DE9175"/>
    <w:rsid w:val="46E42D2C"/>
    <w:rsid w:val="46EAC1F1"/>
    <w:rsid w:val="4736BF74"/>
    <w:rsid w:val="476A8B57"/>
    <w:rsid w:val="476E22B8"/>
    <w:rsid w:val="4785BA8A"/>
    <w:rsid w:val="4787F225"/>
    <w:rsid w:val="4793C8A4"/>
    <w:rsid w:val="47A73DEB"/>
    <w:rsid w:val="47C33BDF"/>
    <w:rsid w:val="47CE018A"/>
    <w:rsid w:val="47D89599"/>
    <w:rsid w:val="47DD1808"/>
    <w:rsid w:val="4825F21B"/>
    <w:rsid w:val="482A3029"/>
    <w:rsid w:val="4848504C"/>
    <w:rsid w:val="48737378"/>
    <w:rsid w:val="488A9D3B"/>
    <w:rsid w:val="489E70D4"/>
    <w:rsid w:val="489FBF99"/>
    <w:rsid w:val="48ACC768"/>
    <w:rsid w:val="48B8B1A7"/>
    <w:rsid w:val="48CBE098"/>
    <w:rsid w:val="48CE4B94"/>
    <w:rsid w:val="48D26FC8"/>
    <w:rsid w:val="48F32475"/>
    <w:rsid w:val="49083DF1"/>
    <w:rsid w:val="491A2968"/>
    <w:rsid w:val="4923424B"/>
    <w:rsid w:val="49506E83"/>
    <w:rsid w:val="498157AC"/>
    <w:rsid w:val="49862225"/>
    <w:rsid w:val="499C0245"/>
    <w:rsid w:val="49C351CF"/>
    <w:rsid w:val="49CB587A"/>
    <w:rsid w:val="4A15C8C2"/>
    <w:rsid w:val="4A3315AE"/>
    <w:rsid w:val="4A33522E"/>
    <w:rsid w:val="4A40C680"/>
    <w:rsid w:val="4A6545BC"/>
    <w:rsid w:val="4A7CFE8D"/>
    <w:rsid w:val="4A878A0D"/>
    <w:rsid w:val="4A8A624D"/>
    <w:rsid w:val="4A9A21E6"/>
    <w:rsid w:val="4AB96237"/>
    <w:rsid w:val="4ABE71D2"/>
    <w:rsid w:val="4ABF78FA"/>
    <w:rsid w:val="4ACFC846"/>
    <w:rsid w:val="4AFABC3F"/>
    <w:rsid w:val="4B04C084"/>
    <w:rsid w:val="4B0CD93C"/>
    <w:rsid w:val="4B42EF00"/>
    <w:rsid w:val="4B464F11"/>
    <w:rsid w:val="4B46E7F4"/>
    <w:rsid w:val="4B4F480D"/>
    <w:rsid w:val="4B74A5D0"/>
    <w:rsid w:val="4B80A896"/>
    <w:rsid w:val="4B865D84"/>
    <w:rsid w:val="4B8C87A5"/>
    <w:rsid w:val="4B91E123"/>
    <w:rsid w:val="4BA93773"/>
    <w:rsid w:val="4BB4A7B6"/>
    <w:rsid w:val="4BC2F7DE"/>
    <w:rsid w:val="4BE0024E"/>
    <w:rsid w:val="4BF0C525"/>
    <w:rsid w:val="4BF2A98B"/>
    <w:rsid w:val="4BF7DDB9"/>
    <w:rsid w:val="4C2A9952"/>
    <w:rsid w:val="4C31C32C"/>
    <w:rsid w:val="4C3A68AB"/>
    <w:rsid w:val="4C78724F"/>
    <w:rsid w:val="4CA4AFD6"/>
    <w:rsid w:val="4CD626B9"/>
    <w:rsid w:val="4CF3423B"/>
    <w:rsid w:val="4D0A792B"/>
    <w:rsid w:val="4D0C25A5"/>
    <w:rsid w:val="4D1F7C93"/>
    <w:rsid w:val="4D30D95D"/>
    <w:rsid w:val="4D69FB55"/>
    <w:rsid w:val="4D6C6830"/>
    <w:rsid w:val="4DC2FD14"/>
    <w:rsid w:val="4E115ECE"/>
    <w:rsid w:val="4E2965D6"/>
    <w:rsid w:val="4E739AD9"/>
    <w:rsid w:val="4EBF4337"/>
    <w:rsid w:val="4EFA0F66"/>
    <w:rsid w:val="4EFE3D25"/>
    <w:rsid w:val="4F0FCCA1"/>
    <w:rsid w:val="4F3B4200"/>
    <w:rsid w:val="4FA7F2A9"/>
    <w:rsid w:val="4FE4918E"/>
    <w:rsid w:val="50358195"/>
    <w:rsid w:val="504352BD"/>
    <w:rsid w:val="506B036E"/>
    <w:rsid w:val="50753C38"/>
    <w:rsid w:val="50759215"/>
    <w:rsid w:val="507C1DA6"/>
    <w:rsid w:val="50863A63"/>
    <w:rsid w:val="5099A4E2"/>
    <w:rsid w:val="509F0190"/>
    <w:rsid w:val="50BAB5E2"/>
    <w:rsid w:val="50D5DE7D"/>
    <w:rsid w:val="5118C5A7"/>
    <w:rsid w:val="511CCA26"/>
    <w:rsid w:val="511F47B5"/>
    <w:rsid w:val="51307D08"/>
    <w:rsid w:val="5132EFD4"/>
    <w:rsid w:val="5134BE66"/>
    <w:rsid w:val="514A28D7"/>
    <w:rsid w:val="515F5DA2"/>
    <w:rsid w:val="51838D87"/>
    <w:rsid w:val="51C5231D"/>
    <w:rsid w:val="5204EEBE"/>
    <w:rsid w:val="5212F385"/>
    <w:rsid w:val="521747D6"/>
    <w:rsid w:val="5299430B"/>
    <w:rsid w:val="529C5117"/>
    <w:rsid w:val="52A48D20"/>
    <w:rsid w:val="52E8FD9F"/>
    <w:rsid w:val="52F1F7C3"/>
    <w:rsid w:val="52F593B7"/>
    <w:rsid w:val="5370D15C"/>
    <w:rsid w:val="5372CF64"/>
    <w:rsid w:val="538FE1D2"/>
    <w:rsid w:val="53BA91A8"/>
    <w:rsid w:val="53C5F212"/>
    <w:rsid w:val="53D3D7DA"/>
    <w:rsid w:val="53FEA285"/>
    <w:rsid w:val="53FED609"/>
    <w:rsid w:val="54314E33"/>
    <w:rsid w:val="543F7579"/>
    <w:rsid w:val="5450071E"/>
    <w:rsid w:val="5468BBA8"/>
    <w:rsid w:val="549A38BA"/>
    <w:rsid w:val="54A8C0DC"/>
    <w:rsid w:val="54BD3EAB"/>
    <w:rsid w:val="552DD7C9"/>
    <w:rsid w:val="554CCCC0"/>
    <w:rsid w:val="555CCF77"/>
    <w:rsid w:val="556709CB"/>
    <w:rsid w:val="558B3F50"/>
    <w:rsid w:val="559DBAEF"/>
    <w:rsid w:val="559EDB63"/>
    <w:rsid w:val="55B6F917"/>
    <w:rsid w:val="55C115AE"/>
    <w:rsid w:val="55FA2ED2"/>
    <w:rsid w:val="5617E31E"/>
    <w:rsid w:val="5618E5E1"/>
    <w:rsid w:val="562CCF75"/>
    <w:rsid w:val="56338010"/>
    <w:rsid w:val="56391A59"/>
    <w:rsid w:val="56496EA6"/>
    <w:rsid w:val="5649EFD6"/>
    <w:rsid w:val="5664D300"/>
    <w:rsid w:val="56661D75"/>
    <w:rsid w:val="56A8EB2A"/>
    <w:rsid w:val="56B225A7"/>
    <w:rsid w:val="56DEDA9C"/>
    <w:rsid w:val="57269853"/>
    <w:rsid w:val="57512705"/>
    <w:rsid w:val="575D34BD"/>
    <w:rsid w:val="578BBF9D"/>
    <w:rsid w:val="57B53989"/>
    <w:rsid w:val="57B572E8"/>
    <w:rsid w:val="57B98E92"/>
    <w:rsid w:val="57C7C78B"/>
    <w:rsid w:val="57D2BF6A"/>
    <w:rsid w:val="5803847A"/>
    <w:rsid w:val="580DB192"/>
    <w:rsid w:val="584C6053"/>
    <w:rsid w:val="58724B7F"/>
    <w:rsid w:val="5878A6D6"/>
    <w:rsid w:val="58824008"/>
    <w:rsid w:val="589AF9BA"/>
    <w:rsid w:val="58BDA4EE"/>
    <w:rsid w:val="58D5F37C"/>
    <w:rsid w:val="59068D5C"/>
    <w:rsid w:val="59255889"/>
    <w:rsid w:val="594088C6"/>
    <w:rsid w:val="59634161"/>
    <w:rsid w:val="5967A70F"/>
    <w:rsid w:val="597ED896"/>
    <w:rsid w:val="598F69BE"/>
    <w:rsid w:val="59918A61"/>
    <w:rsid w:val="59B62A34"/>
    <w:rsid w:val="59B89F7C"/>
    <w:rsid w:val="59F5D172"/>
    <w:rsid w:val="5A07CBE6"/>
    <w:rsid w:val="5A0B93AB"/>
    <w:rsid w:val="5A0FBA86"/>
    <w:rsid w:val="5A1370F9"/>
    <w:rsid w:val="5A16F657"/>
    <w:rsid w:val="5A2DCBCB"/>
    <w:rsid w:val="5A406845"/>
    <w:rsid w:val="5A5DFE54"/>
    <w:rsid w:val="5A729C1A"/>
    <w:rsid w:val="5A76828B"/>
    <w:rsid w:val="5AC3828C"/>
    <w:rsid w:val="5AFC5D4B"/>
    <w:rsid w:val="5B00F314"/>
    <w:rsid w:val="5B10FF49"/>
    <w:rsid w:val="5B38031E"/>
    <w:rsid w:val="5B5043B7"/>
    <w:rsid w:val="5B58FDCE"/>
    <w:rsid w:val="5B69A9CD"/>
    <w:rsid w:val="5B7C9507"/>
    <w:rsid w:val="5B9B906A"/>
    <w:rsid w:val="5BA87138"/>
    <w:rsid w:val="5BC605ED"/>
    <w:rsid w:val="5BEE3750"/>
    <w:rsid w:val="5C16FBEF"/>
    <w:rsid w:val="5CDA244A"/>
    <w:rsid w:val="5CE954DB"/>
    <w:rsid w:val="5CF5FC02"/>
    <w:rsid w:val="5D0832FC"/>
    <w:rsid w:val="5D18F919"/>
    <w:rsid w:val="5D52563A"/>
    <w:rsid w:val="5D574415"/>
    <w:rsid w:val="5DA34690"/>
    <w:rsid w:val="5DA9219B"/>
    <w:rsid w:val="5DB6F7CD"/>
    <w:rsid w:val="5DF21E2B"/>
    <w:rsid w:val="5E446C1F"/>
    <w:rsid w:val="5E486279"/>
    <w:rsid w:val="5E603051"/>
    <w:rsid w:val="5E8C94C6"/>
    <w:rsid w:val="5E9839AD"/>
    <w:rsid w:val="5EB7EEB3"/>
    <w:rsid w:val="5ECB1D6E"/>
    <w:rsid w:val="5EDA58DC"/>
    <w:rsid w:val="5EFC351C"/>
    <w:rsid w:val="5F29E625"/>
    <w:rsid w:val="5F3037E5"/>
    <w:rsid w:val="5F45AA56"/>
    <w:rsid w:val="5F5689BA"/>
    <w:rsid w:val="5F7DD788"/>
    <w:rsid w:val="5FACBECC"/>
    <w:rsid w:val="5FCBC0AA"/>
    <w:rsid w:val="5FDA8053"/>
    <w:rsid w:val="5FE7FC43"/>
    <w:rsid w:val="6005DCC7"/>
    <w:rsid w:val="6013DA8F"/>
    <w:rsid w:val="601E2F26"/>
    <w:rsid w:val="602059A8"/>
    <w:rsid w:val="602D735F"/>
    <w:rsid w:val="604BFF0D"/>
    <w:rsid w:val="606C6735"/>
    <w:rsid w:val="606D3ED1"/>
    <w:rsid w:val="60981894"/>
    <w:rsid w:val="60E78462"/>
    <w:rsid w:val="60EB4858"/>
    <w:rsid w:val="60FD05C1"/>
    <w:rsid w:val="61461601"/>
    <w:rsid w:val="615ACE1F"/>
    <w:rsid w:val="615F7127"/>
    <w:rsid w:val="6177438E"/>
    <w:rsid w:val="6183CA08"/>
    <w:rsid w:val="61E0357C"/>
    <w:rsid w:val="61EAC157"/>
    <w:rsid w:val="61F2EACF"/>
    <w:rsid w:val="62079C65"/>
    <w:rsid w:val="6225935F"/>
    <w:rsid w:val="625B3BBF"/>
    <w:rsid w:val="626B8E66"/>
    <w:rsid w:val="62CACAD4"/>
    <w:rsid w:val="62DC21C2"/>
    <w:rsid w:val="62F800DE"/>
    <w:rsid w:val="6303532B"/>
    <w:rsid w:val="6307B272"/>
    <w:rsid w:val="631F7789"/>
    <w:rsid w:val="6322B96A"/>
    <w:rsid w:val="6324D52A"/>
    <w:rsid w:val="63296D34"/>
    <w:rsid w:val="6349B868"/>
    <w:rsid w:val="634DDD6E"/>
    <w:rsid w:val="638FC163"/>
    <w:rsid w:val="6398C8DA"/>
    <w:rsid w:val="63C0E080"/>
    <w:rsid w:val="63D79BB2"/>
    <w:rsid w:val="640796A4"/>
    <w:rsid w:val="6418CF0D"/>
    <w:rsid w:val="6431A963"/>
    <w:rsid w:val="644022FF"/>
    <w:rsid w:val="64B0430C"/>
    <w:rsid w:val="650DD2F7"/>
    <w:rsid w:val="65509552"/>
    <w:rsid w:val="65892118"/>
    <w:rsid w:val="65C92F9F"/>
    <w:rsid w:val="65D5BD8D"/>
    <w:rsid w:val="6642C085"/>
    <w:rsid w:val="66500B9D"/>
    <w:rsid w:val="6677748C"/>
    <w:rsid w:val="66CA5DB6"/>
    <w:rsid w:val="66D38E30"/>
    <w:rsid w:val="66FC75CB"/>
    <w:rsid w:val="6718CACD"/>
    <w:rsid w:val="671BE722"/>
    <w:rsid w:val="673ED52F"/>
    <w:rsid w:val="67693BEB"/>
    <w:rsid w:val="67A0D616"/>
    <w:rsid w:val="67A3D20D"/>
    <w:rsid w:val="67B9C634"/>
    <w:rsid w:val="683133C7"/>
    <w:rsid w:val="6879489A"/>
    <w:rsid w:val="688A5E66"/>
    <w:rsid w:val="6892D315"/>
    <w:rsid w:val="6897ACE4"/>
    <w:rsid w:val="68B49921"/>
    <w:rsid w:val="68CFB705"/>
    <w:rsid w:val="68FE17AB"/>
    <w:rsid w:val="6904DF37"/>
    <w:rsid w:val="693E7AA9"/>
    <w:rsid w:val="694E9BA5"/>
    <w:rsid w:val="6956A940"/>
    <w:rsid w:val="698A742F"/>
    <w:rsid w:val="69A73BE1"/>
    <w:rsid w:val="69CC327C"/>
    <w:rsid w:val="69D8A949"/>
    <w:rsid w:val="69DB547F"/>
    <w:rsid w:val="69E52F75"/>
    <w:rsid w:val="69EF2E39"/>
    <w:rsid w:val="69F5F6D1"/>
    <w:rsid w:val="69FD0EEF"/>
    <w:rsid w:val="6A15D335"/>
    <w:rsid w:val="6A2CE862"/>
    <w:rsid w:val="6AAE027D"/>
    <w:rsid w:val="6ACA86DF"/>
    <w:rsid w:val="6ADDD237"/>
    <w:rsid w:val="6AF4B967"/>
    <w:rsid w:val="6AF5EE3A"/>
    <w:rsid w:val="6AFE060D"/>
    <w:rsid w:val="6AFF373A"/>
    <w:rsid w:val="6B32C158"/>
    <w:rsid w:val="6B3B8980"/>
    <w:rsid w:val="6B4B721D"/>
    <w:rsid w:val="6B627F5F"/>
    <w:rsid w:val="6BAFF97D"/>
    <w:rsid w:val="6BDE2282"/>
    <w:rsid w:val="6BDF0B30"/>
    <w:rsid w:val="6BE9354B"/>
    <w:rsid w:val="6BEF6CD5"/>
    <w:rsid w:val="6C2BBD12"/>
    <w:rsid w:val="6C3B4C3D"/>
    <w:rsid w:val="6C46C3FB"/>
    <w:rsid w:val="6C57ED77"/>
    <w:rsid w:val="6C63B5DA"/>
    <w:rsid w:val="6CBC7455"/>
    <w:rsid w:val="6CE054FE"/>
    <w:rsid w:val="6CE9B768"/>
    <w:rsid w:val="6CF11322"/>
    <w:rsid w:val="6D736F01"/>
    <w:rsid w:val="6DEEE438"/>
    <w:rsid w:val="6E62C6D0"/>
    <w:rsid w:val="6E7167FF"/>
    <w:rsid w:val="6E795898"/>
    <w:rsid w:val="6E7CAF17"/>
    <w:rsid w:val="6ED9AC47"/>
    <w:rsid w:val="6F1F426D"/>
    <w:rsid w:val="6F51EB89"/>
    <w:rsid w:val="6F64FD44"/>
    <w:rsid w:val="6F773792"/>
    <w:rsid w:val="6FAE1A61"/>
    <w:rsid w:val="6FB7FC38"/>
    <w:rsid w:val="6FBB59B3"/>
    <w:rsid w:val="6FC6AAD8"/>
    <w:rsid w:val="6FCAD067"/>
    <w:rsid w:val="6FE1E9BE"/>
    <w:rsid w:val="6FF8256E"/>
    <w:rsid w:val="70088ACB"/>
    <w:rsid w:val="702D95EB"/>
    <w:rsid w:val="7080FB27"/>
    <w:rsid w:val="70AA3A0F"/>
    <w:rsid w:val="711AB7D4"/>
    <w:rsid w:val="71489C35"/>
    <w:rsid w:val="71618E71"/>
    <w:rsid w:val="7167E241"/>
    <w:rsid w:val="7184D22A"/>
    <w:rsid w:val="719B6E7E"/>
    <w:rsid w:val="71C42E5C"/>
    <w:rsid w:val="726115CA"/>
    <w:rsid w:val="72B2BBAB"/>
    <w:rsid w:val="72E6475B"/>
    <w:rsid w:val="73AAAA3A"/>
    <w:rsid w:val="73F83D4E"/>
    <w:rsid w:val="741BE844"/>
    <w:rsid w:val="741D58BC"/>
    <w:rsid w:val="7422E3BF"/>
    <w:rsid w:val="7453E45D"/>
    <w:rsid w:val="74819B9C"/>
    <w:rsid w:val="7506E982"/>
    <w:rsid w:val="750E6549"/>
    <w:rsid w:val="7515A642"/>
    <w:rsid w:val="7518D461"/>
    <w:rsid w:val="756FB9F4"/>
    <w:rsid w:val="75DC06D5"/>
    <w:rsid w:val="75DCD5CC"/>
    <w:rsid w:val="763C9FE9"/>
    <w:rsid w:val="7652CF84"/>
    <w:rsid w:val="76C2CB9B"/>
    <w:rsid w:val="76CD28F5"/>
    <w:rsid w:val="76E93BF6"/>
    <w:rsid w:val="76ECC028"/>
    <w:rsid w:val="77156D80"/>
    <w:rsid w:val="771E7362"/>
    <w:rsid w:val="7721F2A0"/>
    <w:rsid w:val="7722C411"/>
    <w:rsid w:val="77399FD7"/>
    <w:rsid w:val="774B7F62"/>
    <w:rsid w:val="777C4048"/>
    <w:rsid w:val="77A3C145"/>
    <w:rsid w:val="77B1CD29"/>
    <w:rsid w:val="77BEAD33"/>
    <w:rsid w:val="77C03493"/>
    <w:rsid w:val="7807644D"/>
    <w:rsid w:val="781A8AD3"/>
    <w:rsid w:val="78524395"/>
    <w:rsid w:val="7854CE6D"/>
    <w:rsid w:val="7857F624"/>
    <w:rsid w:val="78701F61"/>
    <w:rsid w:val="7881570C"/>
    <w:rsid w:val="788EB238"/>
    <w:rsid w:val="78DBAF55"/>
    <w:rsid w:val="78F4A142"/>
    <w:rsid w:val="790F7EE3"/>
    <w:rsid w:val="791E5314"/>
    <w:rsid w:val="7939CD3D"/>
    <w:rsid w:val="79980649"/>
    <w:rsid w:val="79A5226E"/>
    <w:rsid w:val="79E8E48C"/>
    <w:rsid w:val="7A00F7F5"/>
    <w:rsid w:val="7A0F2715"/>
    <w:rsid w:val="7A48D0ED"/>
    <w:rsid w:val="7A49A5F9"/>
    <w:rsid w:val="7A566A5D"/>
    <w:rsid w:val="7AB34D6D"/>
    <w:rsid w:val="7ACC304A"/>
    <w:rsid w:val="7ACD2FE2"/>
    <w:rsid w:val="7AEBA919"/>
    <w:rsid w:val="7AF81D9D"/>
    <w:rsid w:val="7B1ECA27"/>
    <w:rsid w:val="7B2408D6"/>
    <w:rsid w:val="7B255866"/>
    <w:rsid w:val="7B28B975"/>
    <w:rsid w:val="7B3AFC5C"/>
    <w:rsid w:val="7B64DFD4"/>
    <w:rsid w:val="7B9642A8"/>
    <w:rsid w:val="7BC080CA"/>
    <w:rsid w:val="7BFDBA71"/>
    <w:rsid w:val="7C19B7BB"/>
    <w:rsid w:val="7C5D9478"/>
    <w:rsid w:val="7C5EBB86"/>
    <w:rsid w:val="7C796C8C"/>
    <w:rsid w:val="7C802CE6"/>
    <w:rsid w:val="7C8D7E4A"/>
    <w:rsid w:val="7CB7609D"/>
    <w:rsid w:val="7CFB3594"/>
    <w:rsid w:val="7D0E845D"/>
    <w:rsid w:val="7D4E94C6"/>
    <w:rsid w:val="7D9D8CDA"/>
    <w:rsid w:val="7DCFB8B2"/>
    <w:rsid w:val="7E2AA617"/>
    <w:rsid w:val="7E7A42D8"/>
    <w:rsid w:val="7E7E115A"/>
    <w:rsid w:val="7E861B87"/>
    <w:rsid w:val="7E8FD622"/>
    <w:rsid w:val="7EE15A8B"/>
    <w:rsid w:val="7EF231B2"/>
    <w:rsid w:val="7EFEEA8C"/>
    <w:rsid w:val="7F000278"/>
    <w:rsid w:val="7FD32576"/>
    <w:rsid w:val="7FEE246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DFA66"/>
  <w15:chartTrackingRefBased/>
  <w15:docId w15:val="{D146B388-3FE7-4A9B-BD93-1C866674D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A47"/>
    <w:pPr>
      <w:spacing w:after="120"/>
      <w:jc w:val="both"/>
    </w:pPr>
    <w:rPr>
      <w:sz w:val="20"/>
    </w:rPr>
  </w:style>
  <w:style w:type="paragraph" w:styleId="Titre1">
    <w:name w:val="heading 1"/>
    <w:basedOn w:val="Normal"/>
    <w:next w:val="Corpsdetexte"/>
    <w:link w:val="Titre1Car"/>
    <w:uiPriority w:val="9"/>
    <w:qFormat/>
    <w:rsid w:val="001702EF"/>
    <w:pPr>
      <w:keepNext/>
      <w:keepLines/>
      <w:numPr>
        <w:numId w:val="1"/>
      </w:numPr>
      <w:outlineLvl w:val="0"/>
    </w:pPr>
    <w:rPr>
      <w:rFonts w:asciiTheme="majorHAnsi" w:eastAsiaTheme="majorEastAsia" w:hAnsiTheme="majorHAnsi" w:cstheme="majorBidi"/>
      <w:b/>
      <w:color w:val="285F83" w:themeColor="text2"/>
      <w:sz w:val="28"/>
      <w:szCs w:val="32"/>
    </w:rPr>
  </w:style>
  <w:style w:type="paragraph" w:styleId="Titre2">
    <w:name w:val="heading 2"/>
    <w:basedOn w:val="Normal"/>
    <w:next w:val="Corpsdetexte"/>
    <w:link w:val="Titre2Car"/>
    <w:autoRedefine/>
    <w:uiPriority w:val="9"/>
    <w:unhideWhenUsed/>
    <w:qFormat/>
    <w:rsid w:val="00154F8F"/>
    <w:pPr>
      <w:keepNext/>
      <w:keepLines/>
      <w:numPr>
        <w:ilvl w:val="1"/>
        <w:numId w:val="1"/>
      </w:numPr>
      <w:outlineLvl w:val="1"/>
    </w:pPr>
    <w:rPr>
      <w:rFonts w:asciiTheme="majorHAnsi" w:eastAsiaTheme="majorEastAsia" w:hAnsiTheme="majorHAnsi" w:cstheme="majorBidi"/>
      <w:b/>
      <w:color w:val="161616" w:themeColor="text1"/>
      <w:sz w:val="24"/>
      <w:szCs w:val="26"/>
    </w:rPr>
  </w:style>
  <w:style w:type="paragraph" w:styleId="Titre3">
    <w:name w:val="heading 3"/>
    <w:basedOn w:val="Normal"/>
    <w:next w:val="Corpsdetexte"/>
    <w:link w:val="Titre3Car"/>
    <w:autoRedefine/>
    <w:uiPriority w:val="9"/>
    <w:unhideWhenUsed/>
    <w:qFormat/>
    <w:rsid w:val="008B4A2B"/>
    <w:pPr>
      <w:keepNext/>
      <w:keepLines/>
      <w:numPr>
        <w:ilvl w:val="2"/>
        <w:numId w:val="1"/>
      </w:numPr>
      <w:outlineLvl w:val="2"/>
    </w:pPr>
    <w:rPr>
      <w:rFonts w:asciiTheme="majorHAnsi" w:eastAsiaTheme="majorEastAsia" w:hAnsiTheme="majorHAnsi" w:cstheme="majorBidi"/>
      <w:b/>
      <w:color w:val="161616" w:themeColor="text1"/>
      <w:sz w:val="22"/>
      <w:lang w:val="en-US"/>
    </w:rPr>
  </w:style>
  <w:style w:type="paragraph" w:styleId="Titre4">
    <w:name w:val="heading 4"/>
    <w:basedOn w:val="Normal"/>
    <w:next w:val="Corpsdetexte"/>
    <w:link w:val="Titre4Car"/>
    <w:uiPriority w:val="9"/>
    <w:unhideWhenUsed/>
    <w:qFormat/>
    <w:rsid w:val="001702EF"/>
    <w:pPr>
      <w:keepNext/>
      <w:keepLines/>
      <w:numPr>
        <w:ilvl w:val="3"/>
        <w:numId w:val="1"/>
      </w:numPr>
      <w:outlineLvl w:val="3"/>
    </w:pPr>
    <w:rPr>
      <w:rFonts w:asciiTheme="majorHAnsi" w:eastAsiaTheme="majorEastAsia" w:hAnsiTheme="majorHAnsi" w:cstheme="majorBidi"/>
      <w:b/>
      <w:iCs/>
      <w:color w:val="161616" w:themeColor="text1"/>
    </w:rPr>
  </w:style>
  <w:style w:type="paragraph" w:styleId="Titre5">
    <w:name w:val="heading 5"/>
    <w:basedOn w:val="Normal"/>
    <w:next w:val="Corpsdetexte"/>
    <w:link w:val="Titre5Car"/>
    <w:uiPriority w:val="9"/>
    <w:unhideWhenUsed/>
    <w:qFormat/>
    <w:rsid w:val="001702EF"/>
    <w:pPr>
      <w:keepNext/>
      <w:keepLines/>
      <w:numPr>
        <w:ilvl w:val="4"/>
        <w:numId w:val="1"/>
      </w:numPr>
      <w:outlineLvl w:val="4"/>
    </w:pPr>
    <w:rPr>
      <w:rFonts w:asciiTheme="majorHAnsi" w:eastAsiaTheme="majorEastAsia" w:hAnsiTheme="majorHAnsi" w:cstheme="majorBidi"/>
      <w:b/>
      <w:color w:val="161616" w:themeColor="text1"/>
    </w:rPr>
  </w:style>
  <w:style w:type="paragraph" w:styleId="Titre6">
    <w:name w:val="heading 6"/>
    <w:basedOn w:val="Normal"/>
    <w:next w:val="Corpsdetexte"/>
    <w:link w:val="Titre6Car"/>
    <w:uiPriority w:val="9"/>
    <w:unhideWhenUsed/>
    <w:qFormat/>
    <w:rsid w:val="007424F6"/>
    <w:pPr>
      <w:keepNext/>
      <w:keepLines/>
      <w:numPr>
        <w:ilvl w:val="5"/>
        <w:numId w:val="1"/>
      </w:numPr>
      <w:outlineLvl w:val="5"/>
    </w:pPr>
    <w:rPr>
      <w:rFonts w:asciiTheme="majorHAnsi" w:eastAsiaTheme="majorEastAsia" w:hAnsiTheme="majorHAnsi" w:cstheme="majorBidi"/>
      <w:b/>
      <w:color w:val="161616" w:themeColor="text1"/>
    </w:rPr>
  </w:style>
  <w:style w:type="paragraph" w:styleId="Titre7">
    <w:name w:val="heading 7"/>
    <w:basedOn w:val="Normal"/>
    <w:next w:val="Corpsdetexte"/>
    <w:link w:val="Titre7Car"/>
    <w:uiPriority w:val="9"/>
    <w:unhideWhenUsed/>
    <w:qFormat/>
    <w:rsid w:val="001702EF"/>
    <w:pPr>
      <w:keepNext/>
      <w:keepLines/>
      <w:numPr>
        <w:ilvl w:val="6"/>
        <w:numId w:val="1"/>
      </w:numPr>
      <w:outlineLvl w:val="6"/>
    </w:pPr>
    <w:rPr>
      <w:rFonts w:asciiTheme="majorHAnsi" w:eastAsiaTheme="majorEastAsia" w:hAnsiTheme="majorHAnsi" w:cstheme="majorBidi"/>
      <w:b/>
      <w:iCs/>
      <w:color w:val="161616" w:themeColor="text1"/>
    </w:rPr>
  </w:style>
  <w:style w:type="paragraph" w:styleId="Titre8">
    <w:name w:val="heading 8"/>
    <w:basedOn w:val="Normal"/>
    <w:next w:val="Corpsdetexte"/>
    <w:link w:val="Titre8Car"/>
    <w:uiPriority w:val="9"/>
    <w:unhideWhenUsed/>
    <w:qFormat/>
    <w:rsid w:val="001702EF"/>
    <w:pPr>
      <w:keepNext/>
      <w:keepLines/>
      <w:numPr>
        <w:ilvl w:val="7"/>
        <w:numId w:val="1"/>
      </w:numPr>
      <w:outlineLvl w:val="7"/>
    </w:pPr>
    <w:rPr>
      <w:rFonts w:asciiTheme="majorHAnsi" w:eastAsiaTheme="majorEastAsia" w:hAnsiTheme="majorHAnsi" w:cstheme="majorBidi"/>
      <w:b/>
      <w:color w:val="161616" w:themeColor="text1"/>
      <w:szCs w:val="21"/>
    </w:rPr>
  </w:style>
  <w:style w:type="paragraph" w:styleId="Titre9">
    <w:name w:val="heading 9"/>
    <w:basedOn w:val="Normal"/>
    <w:next w:val="Corpsdetexte"/>
    <w:link w:val="Titre9Car"/>
    <w:autoRedefine/>
    <w:uiPriority w:val="9"/>
    <w:unhideWhenUsed/>
    <w:qFormat/>
    <w:rsid w:val="001702EF"/>
    <w:pPr>
      <w:keepNext/>
      <w:keepLines/>
      <w:numPr>
        <w:ilvl w:val="8"/>
        <w:numId w:val="1"/>
      </w:numPr>
      <w:outlineLvl w:val="8"/>
    </w:pPr>
    <w:rPr>
      <w:rFonts w:asciiTheme="majorHAnsi" w:eastAsiaTheme="majorEastAsia" w:hAnsiTheme="majorHAnsi" w:cstheme="majorBidi"/>
      <w:b/>
      <w:iCs/>
      <w:color w:val="161616" w:themeColor="text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Titre du document"/>
    <w:basedOn w:val="Normal"/>
    <w:next w:val="En-ttedemessage"/>
    <w:link w:val="En-tteCar"/>
    <w:autoRedefine/>
    <w:uiPriority w:val="99"/>
    <w:unhideWhenUsed/>
    <w:qFormat/>
    <w:rsid w:val="00B11DBB"/>
    <w:pPr>
      <w:tabs>
        <w:tab w:val="center" w:pos="4536"/>
        <w:tab w:val="right" w:pos="9072"/>
      </w:tabs>
      <w:spacing w:after="0"/>
    </w:pPr>
    <w:rPr>
      <w:b/>
      <w:color w:val="285F83" w:themeColor="text2"/>
      <w:sz w:val="22"/>
    </w:rPr>
  </w:style>
  <w:style w:type="character" w:customStyle="1" w:styleId="En-tteCar">
    <w:name w:val="En-tête Car"/>
    <w:aliases w:val="Titre du document Car"/>
    <w:basedOn w:val="Policepardfaut"/>
    <w:link w:val="En-tte"/>
    <w:uiPriority w:val="99"/>
    <w:rsid w:val="00B11DBB"/>
    <w:rPr>
      <w:rFonts w:asciiTheme="minorHAnsi" w:hAnsiTheme="minorHAnsi"/>
      <w:b/>
      <w:color w:val="285F83" w:themeColor="text2"/>
      <w:sz w:val="22"/>
    </w:rPr>
  </w:style>
  <w:style w:type="paragraph" w:styleId="Pieddepage">
    <w:name w:val="footer"/>
    <w:basedOn w:val="Normal"/>
    <w:link w:val="PieddepageCar"/>
    <w:uiPriority w:val="99"/>
    <w:unhideWhenUsed/>
    <w:rsid w:val="00D5094A"/>
    <w:pPr>
      <w:tabs>
        <w:tab w:val="center" w:pos="4536"/>
        <w:tab w:val="right" w:pos="9072"/>
      </w:tabs>
    </w:pPr>
  </w:style>
  <w:style w:type="character" w:customStyle="1" w:styleId="PieddepageCar">
    <w:name w:val="Pied de page Car"/>
    <w:basedOn w:val="Policepardfaut"/>
    <w:link w:val="Pieddepage"/>
    <w:uiPriority w:val="99"/>
    <w:rsid w:val="00D5094A"/>
    <w:rPr>
      <w:rFonts w:asciiTheme="minorHAnsi" w:hAnsiTheme="minorHAnsi"/>
      <w:sz w:val="20"/>
    </w:rPr>
  </w:style>
  <w:style w:type="paragraph" w:styleId="NormalWeb">
    <w:name w:val="Normal (Web)"/>
    <w:basedOn w:val="Normal"/>
    <w:uiPriority w:val="99"/>
    <w:semiHidden/>
    <w:unhideWhenUsed/>
    <w:rsid w:val="00FB140B"/>
    <w:pPr>
      <w:spacing w:before="100" w:beforeAutospacing="1" w:after="100" w:afterAutospacing="1"/>
    </w:pPr>
    <w:rPr>
      <w:rFonts w:ascii="Times New Roman" w:eastAsia="Times New Roman" w:hAnsi="Times New Roman" w:cs="Times New Roman"/>
      <w:kern w:val="0"/>
      <w:lang w:eastAsia="fr-FR"/>
      <w14:ligatures w14:val="none"/>
    </w:rPr>
  </w:style>
  <w:style w:type="paragraph" w:styleId="Sansinterligne">
    <w:name w:val="No Spacing"/>
    <w:uiPriority w:val="1"/>
    <w:qFormat/>
    <w:rsid w:val="00C0483D"/>
    <w:pPr>
      <w:jc w:val="both"/>
    </w:pPr>
    <w:rPr>
      <w:sz w:val="20"/>
    </w:rPr>
  </w:style>
  <w:style w:type="paragraph" w:styleId="Corpsdetexte">
    <w:name w:val="Body Text"/>
    <w:basedOn w:val="Normal"/>
    <w:link w:val="CorpsdetexteCar"/>
    <w:uiPriority w:val="99"/>
    <w:unhideWhenUsed/>
    <w:rsid w:val="001C0AE7"/>
  </w:style>
  <w:style w:type="character" w:customStyle="1" w:styleId="CorpsdetexteCar">
    <w:name w:val="Corps de texte Car"/>
    <w:basedOn w:val="Policepardfaut"/>
    <w:link w:val="Corpsdetexte"/>
    <w:uiPriority w:val="99"/>
    <w:rsid w:val="001C0AE7"/>
    <w:rPr>
      <w:rFonts w:asciiTheme="minorHAnsi" w:hAnsiTheme="minorHAnsi"/>
      <w:sz w:val="20"/>
    </w:rPr>
  </w:style>
  <w:style w:type="character" w:styleId="Numrodepage">
    <w:name w:val="page number"/>
    <w:basedOn w:val="Policepardfaut"/>
    <w:uiPriority w:val="99"/>
    <w:unhideWhenUsed/>
    <w:rsid w:val="005F76C3"/>
    <w:rPr>
      <w:rFonts w:asciiTheme="minorHAnsi" w:hAnsiTheme="minorHAnsi"/>
      <w:sz w:val="20"/>
    </w:rPr>
  </w:style>
  <w:style w:type="character" w:customStyle="1" w:styleId="Titre1Car">
    <w:name w:val="Titre 1 Car"/>
    <w:basedOn w:val="Policepardfaut"/>
    <w:link w:val="Titre1"/>
    <w:uiPriority w:val="9"/>
    <w:rsid w:val="001702EF"/>
    <w:rPr>
      <w:rFonts w:asciiTheme="majorHAnsi" w:eastAsiaTheme="majorEastAsia" w:hAnsiTheme="majorHAnsi" w:cstheme="majorBidi"/>
      <w:b/>
      <w:color w:val="285F83" w:themeColor="text2"/>
      <w:sz w:val="28"/>
      <w:szCs w:val="32"/>
    </w:rPr>
  </w:style>
  <w:style w:type="character" w:customStyle="1" w:styleId="Titre2Car">
    <w:name w:val="Titre 2 Car"/>
    <w:basedOn w:val="Policepardfaut"/>
    <w:link w:val="Titre2"/>
    <w:uiPriority w:val="9"/>
    <w:rsid w:val="00372EFD"/>
    <w:rPr>
      <w:rFonts w:asciiTheme="majorHAnsi" w:eastAsiaTheme="majorEastAsia" w:hAnsiTheme="majorHAnsi" w:cstheme="majorBidi"/>
      <w:b/>
      <w:color w:val="161616" w:themeColor="text1"/>
      <w:szCs w:val="26"/>
    </w:rPr>
  </w:style>
  <w:style w:type="character" w:customStyle="1" w:styleId="Titre3Car">
    <w:name w:val="Titre 3 Car"/>
    <w:basedOn w:val="Policepardfaut"/>
    <w:link w:val="Titre3"/>
    <w:uiPriority w:val="9"/>
    <w:rsid w:val="008B4A2B"/>
    <w:rPr>
      <w:rFonts w:asciiTheme="majorHAnsi" w:eastAsiaTheme="majorEastAsia" w:hAnsiTheme="majorHAnsi" w:cstheme="majorBidi"/>
      <w:b/>
      <w:color w:val="161616" w:themeColor="text1"/>
      <w:sz w:val="22"/>
      <w:lang w:val="en-US"/>
    </w:rPr>
  </w:style>
  <w:style w:type="character" w:customStyle="1" w:styleId="Titre4Car">
    <w:name w:val="Titre 4 Car"/>
    <w:basedOn w:val="Policepardfaut"/>
    <w:link w:val="Titre4"/>
    <w:uiPriority w:val="9"/>
    <w:rsid w:val="001702EF"/>
    <w:rPr>
      <w:rFonts w:asciiTheme="majorHAnsi" w:eastAsiaTheme="majorEastAsia" w:hAnsiTheme="majorHAnsi" w:cstheme="majorBidi"/>
      <w:b/>
      <w:iCs/>
      <w:color w:val="161616" w:themeColor="text1"/>
      <w:sz w:val="20"/>
    </w:rPr>
  </w:style>
  <w:style w:type="character" w:customStyle="1" w:styleId="Titre5Car">
    <w:name w:val="Titre 5 Car"/>
    <w:basedOn w:val="Policepardfaut"/>
    <w:link w:val="Titre5"/>
    <w:uiPriority w:val="9"/>
    <w:rsid w:val="001702EF"/>
    <w:rPr>
      <w:rFonts w:asciiTheme="majorHAnsi" w:eastAsiaTheme="majorEastAsia" w:hAnsiTheme="majorHAnsi" w:cstheme="majorBidi"/>
      <w:b/>
      <w:color w:val="161616" w:themeColor="text1"/>
      <w:sz w:val="20"/>
    </w:rPr>
  </w:style>
  <w:style w:type="character" w:customStyle="1" w:styleId="Titre6Car">
    <w:name w:val="Titre 6 Car"/>
    <w:basedOn w:val="Policepardfaut"/>
    <w:link w:val="Titre6"/>
    <w:uiPriority w:val="9"/>
    <w:rsid w:val="007424F6"/>
    <w:rPr>
      <w:rFonts w:asciiTheme="majorHAnsi" w:eastAsiaTheme="majorEastAsia" w:hAnsiTheme="majorHAnsi" w:cstheme="majorBidi"/>
      <w:b/>
      <w:color w:val="161616" w:themeColor="text1"/>
      <w:sz w:val="20"/>
    </w:rPr>
  </w:style>
  <w:style w:type="character" w:customStyle="1" w:styleId="Titre7Car">
    <w:name w:val="Titre 7 Car"/>
    <w:basedOn w:val="Policepardfaut"/>
    <w:link w:val="Titre7"/>
    <w:uiPriority w:val="9"/>
    <w:rsid w:val="001702EF"/>
    <w:rPr>
      <w:rFonts w:asciiTheme="majorHAnsi" w:eastAsiaTheme="majorEastAsia" w:hAnsiTheme="majorHAnsi" w:cstheme="majorBidi"/>
      <w:b/>
      <w:iCs/>
      <w:color w:val="161616" w:themeColor="text1"/>
      <w:sz w:val="20"/>
    </w:rPr>
  </w:style>
  <w:style w:type="character" w:customStyle="1" w:styleId="Titre8Car">
    <w:name w:val="Titre 8 Car"/>
    <w:basedOn w:val="Policepardfaut"/>
    <w:link w:val="Titre8"/>
    <w:uiPriority w:val="9"/>
    <w:rsid w:val="001702EF"/>
    <w:rPr>
      <w:rFonts w:asciiTheme="majorHAnsi" w:eastAsiaTheme="majorEastAsia" w:hAnsiTheme="majorHAnsi" w:cstheme="majorBidi"/>
      <w:b/>
      <w:color w:val="161616" w:themeColor="text1"/>
      <w:sz w:val="20"/>
      <w:szCs w:val="21"/>
    </w:rPr>
  </w:style>
  <w:style w:type="character" w:customStyle="1" w:styleId="Titre9Car">
    <w:name w:val="Titre 9 Car"/>
    <w:basedOn w:val="Policepardfaut"/>
    <w:link w:val="Titre9"/>
    <w:uiPriority w:val="9"/>
    <w:rsid w:val="001702EF"/>
    <w:rPr>
      <w:rFonts w:asciiTheme="majorHAnsi" w:eastAsiaTheme="majorEastAsia" w:hAnsiTheme="majorHAnsi" w:cstheme="majorBidi"/>
      <w:b/>
      <w:iCs/>
      <w:color w:val="161616" w:themeColor="text1"/>
      <w:sz w:val="20"/>
      <w:szCs w:val="21"/>
    </w:rPr>
  </w:style>
  <w:style w:type="paragraph" w:styleId="Titre">
    <w:name w:val="Title"/>
    <w:basedOn w:val="Normal"/>
    <w:next w:val="Corpsdetexte"/>
    <w:link w:val="TitreCar"/>
    <w:autoRedefine/>
    <w:uiPriority w:val="10"/>
    <w:qFormat/>
    <w:rsid w:val="005D4E19"/>
    <w:pPr>
      <w:spacing w:before="240" w:after="240" w:line="259" w:lineRule="auto"/>
      <w:contextualSpacing/>
    </w:pPr>
    <w:rPr>
      <w:rFonts w:asciiTheme="majorHAnsi" w:eastAsiaTheme="majorEastAsia" w:hAnsiTheme="majorHAnsi" w:cstheme="majorBidi"/>
      <w:b/>
      <w:color w:val="285F83" w:themeColor="text2"/>
      <w:spacing w:val="-10"/>
      <w:kern w:val="28"/>
      <w:sz w:val="32"/>
      <w:szCs w:val="56"/>
    </w:rPr>
  </w:style>
  <w:style w:type="character" w:customStyle="1" w:styleId="TitreCar">
    <w:name w:val="Titre Car"/>
    <w:basedOn w:val="Policepardfaut"/>
    <w:link w:val="Titre"/>
    <w:uiPriority w:val="10"/>
    <w:rsid w:val="005D4E19"/>
    <w:rPr>
      <w:rFonts w:asciiTheme="majorHAnsi" w:eastAsiaTheme="majorEastAsia" w:hAnsiTheme="majorHAnsi" w:cstheme="majorBidi"/>
      <w:b/>
      <w:color w:val="285F83" w:themeColor="text2"/>
      <w:spacing w:val="-10"/>
      <w:kern w:val="28"/>
      <w:sz w:val="32"/>
      <w:szCs w:val="56"/>
    </w:rPr>
  </w:style>
  <w:style w:type="paragraph" w:styleId="Sous-titre">
    <w:name w:val="Subtitle"/>
    <w:basedOn w:val="Normal"/>
    <w:next w:val="Corpsdetexte"/>
    <w:link w:val="Sous-titreCar"/>
    <w:autoRedefine/>
    <w:uiPriority w:val="11"/>
    <w:qFormat/>
    <w:rsid w:val="008A3CAE"/>
    <w:pPr>
      <w:numPr>
        <w:ilvl w:val="1"/>
      </w:numPr>
      <w:jc w:val="left"/>
    </w:pPr>
    <w:rPr>
      <w:rFonts w:eastAsiaTheme="minorEastAsia" w:cs="Times New Roman (Corps CS)"/>
      <w:b/>
      <w:color w:val="161616" w:themeColor="text1"/>
      <w:sz w:val="22"/>
      <w:szCs w:val="22"/>
    </w:rPr>
  </w:style>
  <w:style w:type="character" w:customStyle="1" w:styleId="Sous-titreCar">
    <w:name w:val="Sous-titre Car"/>
    <w:basedOn w:val="Policepardfaut"/>
    <w:link w:val="Sous-titre"/>
    <w:uiPriority w:val="11"/>
    <w:rsid w:val="008A3CAE"/>
    <w:rPr>
      <w:rFonts w:asciiTheme="minorHAnsi" w:eastAsiaTheme="minorEastAsia" w:hAnsiTheme="minorHAnsi" w:cs="Times New Roman (Corps CS)"/>
      <w:b/>
      <w:color w:val="161616" w:themeColor="text1"/>
      <w:sz w:val="22"/>
      <w:szCs w:val="22"/>
    </w:rPr>
  </w:style>
  <w:style w:type="paragraph" w:customStyle="1" w:styleId="Encartbleu">
    <w:name w:val="Encart bleu"/>
    <w:basedOn w:val="Normal"/>
    <w:next w:val="Corpsdetexte"/>
    <w:link w:val="EncartbleuCar"/>
    <w:autoRedefine/>
    <w:qFormat/>
    <w:rsid w:val="00B216F3"/>
    <w:pPr>
      <w:pBdr>
        <w:top w:val="single" w:sz="12" w:space="5" w:color="285F83" w:themeColor="text2"/>
        <w:left w:val="single" w:sz="12" w:space="12" w:color="285F83" w:themeColor="text2"/>
        <w:bottom w:val="single" w:sz="12" w:space="5" w:color="285F83" w:themeColor="text2"/>
        <w:right w:val="single" w:sz="12" w:space="12" w:color="285F83" w:themeColor="text2"/>
      </w:pBdr>
      <w:ind w:left="284" w:right="284"/>
      <w:jc w:val="center"/>
    </w:pPr>
    <w:rPr>
      <w:rFonts w:ascii="Arial" w:hAnsi="Arial"/>
      <w:b/>
      <w:color w:val="285F83" w:themeColor="text2"/>
      <w:sz w:val="28"/>
    </w:rPr>
  </w:style>
  <w:style w:type="character" w:customStyle="1" w:styleId="EncartbleuCar">
    <w:name w:val="Encart bleu Car"/>
    <w:basedOn w:val="Policepardfaut"/>
    <w:link w:val="Encartbleu"/>
    <w:rsid w:val="001F6AB9"/>
    <w:rPr>
      <w:rFonts w:ascii="Arial" w:hAnsi="Arial"/>
      <w:b/>
      <w:color w:val="285F83" w:themeColor="text2"/>
      <w:sz w:val="28"/>
    </w:rPr>
  </w:style>
  <w:style w:type="paragraph" w:customStyle="1" w:styleId="Participants">
    <w:name w:val="Participants"/>
    <w:basedOn w:val="Corpsdetexte"/>
    <w:qFormat/>
    <w:rsid w:val="00563FD1"/>
    <w:pPr>
      <w:spacing w:before="120" w:after="360"/>
    </w:pPr>
    <w:rPr>
      <w:b/>
      <w:sz w:val="22"/>
    </w:rPr>
  </w:style>
  <w:style w:type="paragraph" w:styleId="En-ttedemessage">
    <w:name w:val="Message Header"/>
    <w:aliases w:val="En-tête : Date"/>
    <w:basedOn w:val="Normal"/>
    <w:next w:val="Corpsdetexte"/>
    <w:link w:val="En-ttedemessageCar"/>
    <w:autoRedefine/>
    <w:uiPriority w:val="99"/>
    <w:unhideWhenUsed/>
    <w:qFormat/>
    <w:rsid w:val="008A3CAE"/>
    <w:pPr>
      <w:pBdr>
        <w:bottom w:val="single" w:sz="6" w:space="6" w:color="auto"/>
      </w:pBdr>
      <w:spacing w:after="240"/>
      <w:ind w:left="1134" w:hanging="1134"/>
    </w:pPr>
    <w:rPr>
      <w:rFonts w:asciiTheme="majorHAnsi" w:eastAsiaTheme="majorEastAsia" w:hAnsiTheme="majorHAnsi" w:cstheme="majorBidi"/>
      <w:color w:val="161616" w:themeColor="text1"/>
      <w:sz w:val="16"/>
    </w:rPr>
  </w:style>
  <w:style w:type="character" w:customStyle="1" w:styleId="En-ttedemessageCar">
    <w:name w:val="En-tête de message Car"/>
    <w:aliases w:val="En-tête : Date Car"/>
    <w:basedOn w:val="Policepardfaut"/>
    <w:link w:val="En-ttedemessage"/>
    <w:uiPriority w:val="99"/>
    <w:rsid w:val="008A3CAE"/>
    <w:rPr>
      <w:rFonts w:asciiTheme="majorHAnsi" w:eastAsiaTheme="majorEastAsia" w:hAnsiTheme="majorHAnsi" w:cstheme="majorBidi"/>
      <w:color w:val="161616" w:themeColor="text1"/>
      <w:sz w:val="16"/>
    </w:rPr>
  </w:style>
  <w:style w:type="paragraph" w:styleId="Titredenote">
    <w:name w:val="Note Heading"/>
    <w:basedOn w:val="Normal"/>
    <w:next w:val="Normal"/>
    <w:link w:val="TitredenoteCar"/>
    <w:uiPriority w:val="99"/>
    <w:semiHidden/>
    <w:unhideWhenUsed/>
    <w:rsid w:val="000F7307"/>
    <w:pPr>
      <w:spacing w:after="0"/>
    </w:pPr>
    <w:rPr>
      <w:sz w:val="18"/>
    </w:rPr>
  </w:style>
  <w:style w:type="character" w:customStyle="1" w:styleId="TitredenoteCar">
    <w:name w:val="Titre de note Car"/>
    <w:basedOn w:val="Policepardfaut"/>
    <w:link w:val="Titredenote"/>
    <w:uiPriority w:val="99"/>
    <w:semiHidden/>
    <w:rsid w:val="000F7307"/>
    <w:rPr>
      <w:rFonts w:asciiTheme="minorHAnsi" w:hAnsiTheme="minorHAnsi"/>
      <w:sz w:val="18"/>
    </w:rPr>
  </w:style>
  <w:style w:type="paragraph" w:styleId="Notedebasdepage">
    <w:name w:val="footnote text"/>
    <w:basedOn w:val="Corpsdetexte"/>
    <w:link w:val="NotedebasdepageCar"/>
    <w:uiPriority w:val="99"/>
    <w:semiHidden/>
    <w:unhideWhenUsed/>
    <w:rsid w:val="000F7307"/>
    <w:pPr>
      <w:spacing w:after="60"/>
    </w:pPr>
    <w:rPr>
      <w:sz w:val="16"/>
      <w:szCs w:val="20"/>
    </w:rPr>
  </w:style>
  <w:style w:type="character" w:customStyle="1" w:styleId="NotedebasdepageCar">
    <w:name w:val="Note de bas de page Car"/>
    <w:basedOn w:val="Policepardfaut"/>
    <w:link w:val="Notedebasdepage"/>
    <w:uiPriority w:val="99"/>
    <w:semiHidden/>
    <w:rsid w:val="000F7307"/>
    <w:rPr>
      <w:rFonts w:asciiTheme="minorHAnsi" w:hAnsiTheme="minorHAnsi"/>
      <w:sz w:val="16"/>
      <w:szCs w:val="20"/>
    </w:rPr>
  </w:style>
  <w:style w:type="paragraph" w:styleId="Notedefin">
    <w:name w:val="endnote text"/>
    <w:basedOn w:val="Corpsdetexte"/>
    <w:link w:val="NotedefinCar"/>
    <w:uiPriority w:val="99"/>
    <w:semiHidden/>
    <w:unhideWhenUsed/>
    <w:rsid w:val="000F7307"/>
    <w:pPr>
      <w:spacing w:after="0"/>
    </w:pPr>
    <w:rPr>
      <w:sz w:val="16"/>
      <w:szCs w:val="20"/>
    </w:rPr>
  </w:style>
  <w:style w:type="character" w:customStyle="1" w:styleId="NotedefinCar">
    <w:name w:val="Note de fin Car"/>
    <w:basedOn w:val="Policepardfaut"/>
    <w:link w:val="Notedefin"/>
    <w:uiPriority w:val="99"/>
    <w:semiHidden/>
    <w:rsid w:val="000F7307"/>
    <w:rPr>
      <w:rFonts w:asciiTheme="minorHAnsi" w:hAnsiTheme="minorHAnsi"/>
      <w:sz w:val="16"/>
      <w:szCs w:val="20"/>
    </w:rPr>
  </w:style>
  <w:style w:type="character" w:styleId="Accentuationintense">
    <w:name w:val="Intense Emphasis"/>
    <w:basedOn w:val="Policepardfaut"/>
    <w:uiPriority w:val="21"/>
    <w:qFormat/>
    <w:rsid w:val="005C0220"/>
    <w:rPr>
      <w:rFonts w:asciiTheme="minorHAnsi" w:hAnsiTheme="minorHAnsi"/>
      <w:b/>
      <w:i w:val="0"/>
      <w:iCs/>
      <w:color w:val="285F83" w:themeColor="text2"/>
      <w:sz w:val="20"/>
    </w:rPr>
  </w:style>
  <w:style w:type="character" w:styleId="Accentuation">
    <w:name w:val="Emphasis"/>
    <w:basedOn w:val="Policepardfaut"/>
    <w:uiPriority w:val="20"/>
    <w:qFormat/>
    <w:rsid w:val="005C0220"/>
    <w:rPr>
      <w:rFonts w:asciiTheme="minorHAnsi" w:hAnsiTheme="minorHAnsi"/>
      <w:b/>
      <w:i w:val="0"/>
      <w:iCs/>
      <w:color w:val="161616" w:themeColor="text1"/>
      <w:sz w:val="20"/>
    </w:rPr>
  </w:style>
  <w:style w:type="character" w:styleId="Accentuationlgre">
    <w:name w:val="Subtle Emphasis"/>
    <w:basedOn w:val="Policepardfaut"/>
    <w:uiPriority w:val="19"/>
    <w:qFormat/>
    <w:rsid w:val="005C0220"/>
    <w:rPr>
      <w:rFonts w:asciiTheme="minorHAnsi" w:hAnsiTheme="minorHAnsi"/>
      <w:i w:val="0"/>
      <w:iCs/>
      <w:color w:val="285F83" w:themeColor="text2"/>
      <w:sz w:val="20"/>
    </w:rPr>
  </w:style>
  <w:style w:type="character" w:styleId="lev">
    <w:name w:val="Strong"/>
    <w:basedOn w:val="Policepardfaut"/>
    <w:uiPriority w:val="22"/>
    <w:qFormat/>
    <w:rsid w:val="005C0220"/>
    <w:rPr>
      <w:rFonts w:asciiTheme="minorHAnsi" w:hAnsiTheme="minorHAnsi"/>
      <w:b/>
      <w:bCs/>
      <w:i/>
      <w:color w:val="285F83" w:themeColor="text2"/>
      <w:sz w:val="20"/>
      <w:u w:val="none"/>
    </w:rPr>
  </w:style>
  <w:style w:type="paragraph" w:styleId="Citation">
    <w:name w:val="Quote"/>
    <w:basedOn w:val="Normal"/>
    <w:next w:val="Normal"/>
    <w:link w:val="CitationCar"/>
    <w:uiPriority w:val="29"/>
    <w:qFormat/>
    <w:rsid w:val="005C0220"/>
    <w:pPr>
      <w:spacing w:before="200" w:after="160"/>
      <w:ind w:left="864" w:right="864"/>
      <w:jc w:val="center"/>
    </w:pPr>
    <w:rPr>
      <w:i/>
      <w:iCs/>
      <w:color w:val="285F83" w:themeColor="text2"/>
    </w:rPr>
  </w:style>
  <w:style w:type="character" w:customStyle="1" w:styleId="CitationCar">
    <w:name w:val="Citation Car"/>
    <w:basedOn w:val="Policepardfaut"/>
    <w:link w:val="Citation"/>
    <w:uiPriority w:val="29"/>
    <w:rsid w:val="005C0220"/>
    <w:rPr>
      <w:rFonts w:asciiTheme="minorHAnsi" w:hAnsiTheme="minorHAnsi"/>
      <w:i/>
      <w:iCs/>
      <w:color w:val="285F83" w:themeColor="text2"/>
      <w:sz w:val="20"/>
    </w:rPr>
  </w:style>
  <w:style w:type="paragraph" w:styleId="Citationintense">
    <w:name w:val="Intense Quote"/>
    <w:basedOn w:val="Normal"/>
    <w:next w:val="Normal"/>
    <w:link w:val="CitationintenseCar"/>
    <w:uiPriority w:val="30"/>
    <w:qFormat/>
    <w:rsid w:val="005C0220"/>
    <w:pPr>
      <w:pBdr>
        <w:top w:val="single" w:sz="4" w:space="10" w:color="285F83" w:themeColor="text2"/>
        <w:bottom w:val="single" w:sz="4" w:space="10" w:color="285F83" w:themeColor="text2"/>
      </w:pBdr>
      <w:spacing w:before="360" w:after="360"/>
      <w:ind w:left="864" w:right="864"/>
      <w:jc w:val="center"/>
    </w:pPr>
    <w:rPr>
      <w:b/>
      <w:i/>
      <w:iCs/>
      <w:color w:val="285F83" w:themeColor="text2"/>
    </w:rPr>
  </w:style>
  <w:style w:type="character" w:customStyle="1" w:styleId="CitationintenseCar">
    <w:name w:val="Citation intense Car"/>
    <w:basedOn w:val="Policepardfaut"/>
    <w:link w:val="Citationintense"/>
    <w:uiPriority w:val="30"/>
    <w:rsid w:val="005C0220"/>
    <w:rPr>
      <w:rFonts w:asciiTheme="minorHAnsi" w:hAnsiTheme="minorHAnsi"/>
      <w:b/>
      <w:i/>
      <w:iCs/>
      <w:color w:val="285F83" w:themeColor="text2"/>
      <w:sz w:val="20"/>
    </w:rPr>
  </w:style>
  <w:style w:type="character" w:styleId="Rfrencelgre">
    <w:name w:val="Subtle Reference"/>
    <w:basedOn w:val="Policepardfaut"/>
    <w:uiPriority w:val="31"/>
    <w:qFormat/>
    <w:rsid w:val="005C0220"/>
    <w:rPr>
      <w:rFonts w:asciiTheme="minorHAnsi" w:hAnsiTheme="minorHAnsi"/>
      <w:smallCaps/>
      <w:color w:val="285F83" w:themeColor="text2"/>
      <w:sz w:val="20"/>
    </w:rPr>
  </w:style>
  <w:style w:type="character" w:styleId="Rfrenceintense">
    <w:name w:val="Intense Reference"/>
    <w:basedOn w:val="Policepardfaut"/>
    <w:uiPriority w:val="32"/>
    <w:qFormat/>
    <w:rsid w:val="005C0220"/>
    <w:rPr>
      <w:rFonts w:asciiTheme="minorHAnsi" w:hAnsiTheme="minorHAnsi"/>
      <w:b/>
      <w:bCs/>
      <w:smallCaps/>
      <w:color w:val="285F83" w:themeColor="text2"/>
      <w:spacing w:val="5"/>
      <w:sz w:val="20"/>
    </w:rPr>
  </w:style>
  <w:style w:type="paragraph" w:styleId="Normalcentr">
    <w:name w:val="Block Text"/>
    <w:basedOn w:val="Normal"/>
    <w:uiPriority w:val="99"/>
    <w:semiHidden/>
    <w:unhideWhenUsed/>
    <w:rsid w:val="005C0220"/>
    <w:pPr>
      <w:pBdr>
        <w:top w:val="single" w:sz="2" w:space="10" w:color="285F83" w:themeColor="text2"/>
        <w:left w:val="single" w:sz="2" w:space="10" w:color="285F83" w:themeColor="text2"/>
        <w:bottom w:val="single" w:sz="2" w:space="10" w:color="285F83" w:themeColor="text2"/>
        <w:right w:val="single" w:sz="2" w:space="10" w:color="285F83" w:themeColor="text2"/>
      </w:pBdr>
      <w:ind w:left="1152" w:right="1152"/>
    </w:pPr>
    <w:rPr>
      <w:rFonts w:eastAsiaTheme="minorEastAsia"/>
      <w:i/>
      <w:iCs/>
      <w:color w:val="285F83" w:themeColor="text2"/>
    </w:rPr>
  </w:style>
  <w:style w:type="paragraph" w:customStyle="1" w:styleId="Encartparagraphebleu">
    <w:name w:val="Encart paragraphe bleu"/>
    <w:link w:val="EncartparagraphebleuCar"/>
    <w:qFormat/>
    <w:rsid w:val="00100197"/>
    <w:pPr>
      <w:pBdr>
        <w:top w:val="single" w:sz="2" w:space="6" w:color="EBEFF3"/>
        <w:left w:val="single" w:sz="2" w:space="6" w:color="EBEFF3"/>
        <w:bottom w:val="single" w:sz="2" w:space="6" w:color="EBEFF3"/>
        <w:right w:val="single" w:sz="2" w:space="6" w:color="EBEFF3"/>
      </w:pBdr>
      <w:shd w:val="clear" w:color="auto" w:fill="EBEFF3"/>
      <w:spacing w:before="120" w:after="120"/>
      <w:ind w:left="120" w:right="120"/>
      <w:jc w:val="both"/>
    </w:pPr>
    <w:rPr>
      <w:color w:val="285F83" w:themeColor="text2"/>
      <w:sz w:val="20"/>
    </w:rPr>
  </w:style>
  <w:style w:type="paragraph" w:styleId="Lgende">
    <w:name w:val="caption"/>
    <w:basedOn w:val="Normal"/>
    <w:next w:val="Corpsdetexte"/>
    <w:uiPriority w:val="35"/>
    <w:unhideWhenUsed/>
    <w:qFormat/>
    <w:rsid w:val="00974E72"/>
    <w:pPr>
      <w:spacing w:after="200"/>
    </w:pPr>
    <w:rPr>
      <w:b/>
      <w:i/>
      <w:iCs/>
      <w:color w:val="285F83" w:themeColor="text2"/>
      <w:szCs w:val="18"/>
    </w:rPr>
  </w:style>
  <w:style w:type="character" w:customStyle="1" w:styleId="EncartparagraphebleuCar">
    <w:name w:val="Encart paragraphe bleu Car"/>
    <w:basedOn w:val="Policepardfaut"/>
    <w:link w:val="Encartparagraphebleu"/>
    <w:rsid w:val="00100197"/>
    <w:rPr>
      <w:rFonts w:asciiTheme="minorHAnsi" w:hAnsiTheme="minorHAnsi"/>
      <w:color w:val="285F83" w:themeColor="text2"/>
      <w:sz w:val="20"/>
      <w:shd w:val="clear" w:color="auto" w:fill="EBEFF3"/>
    </w:rPr>
  </w:style>
  <w:style w:type="paragraph" w:styleId="Date">
    <w:name w:val="Date"/>
    <w:basedOn w:val="Normal"/>
    <w:next w:val="Corpsdetexte"/>
    <w:link w:val="DateCar"/>
    <w:uiPriority w:val="99"/>
    <w:unhideWhenUsed/>
    <w:rsid w:val="008A3CAE"/>
    <w:rPr>
      <w:i/>
    </w:rPr>
  </w:style>
  <w:style w:type="character" w:customStyle="1" w:styleId="DateCar">
    <w:name w:val="Date Car"/>
    <w:basedOn w:val="Policepardfaut"/>
    <w:link w:val="Date"/>
    <w:uiPriority w:val="99"/>
    <w:rsid w:val="008A3CAE"/>
    <w:rPr>
      <w:rFonts w:asciiTheme="minorHAnsi" w:hAnsiTheme="minorHAnsi"/>
      <w:i/>
      <w:sz w:val="20"/>
    </w:rPr>
  </w:style>
  <w:style w:type="paragraph" w:styleId="En-ttedetabledesmatires">
    <w:name w:val="TOC Heading"/>
    <w:basedOn w:val="Normal"/>
    <w:next w:val="Corpsdetexte"/>
    <w:uiPriority w:val="39"/>
    <w:unhideWhenUsed/>
    <w:qFormat/>
    <w:rsid w:val="00C668AE"/>
    <w:pPr>
      <w:spacing w:after="240"/>
      <w:jc w:val="left"/>
    </w:pPr>
    <w:rPr>
      <w:b/>
      <w:color w:val="285F83" w:themeColor="text2"/>
      <w:sz w:val="36"/>
    </w:rPr>
  </w:style>
  <w:style w:type="paragraph" w:styleId="TM1">
    <w:name w:val="toc 1"/>
    <w:basedOn w:val="Normal"/>
    <w:next w:val="Normal"/>
    <w:autoRedefine/>
    <w:uiPriority w:val="39"/>
    <w:unhideWhenUsed/>
    <w:rsid w:val="00E32E59"/>
    <w:pPr>
      <w:tabs>
        <w:tab w:val="left" w:pos="426"/>
        <w:tab w:val="right" w:leader="dot" w:pos="9072"/>
      </w:tabs>
      <w:spacing w:before="240"/>
      <w:ind w:right="567"/>
      <w:jc w:val="left"/>
    </w:pPr>
    <w:rPr>
      <w:rFonts w:ascii="Arial" w:hAnsi="Arial" w:cstheme="minorHAnsi"/>
      <w:b/>
      <w:bCs/>
      <w:iCs/>
      <w:noProof/>
      <w:color w:val="285F83" w:themeColor="text2"/>
      <w:sz w:val="28"/>
    </w:rPr>
  </w:style>
  <w:style w:type="character" w:styleId="Lienhypertexte">
    <w:name w:val="Hyperlink"/>
    <w:basedOn w:val="Policepardfaut"/>
    <w:uiPriority w:val="99"/>
    <w:unhideWhenUsed/>
    <w:rsid w:val="00C668AE"/>
    <w:rPr>
      <w:rFonts w:asciiTheme="minorHAnsi" w:hAnsiTheme="minorHAnsi"/>
      <w:color w:val="0563C1" w:themeColor="hyperlink"/>
      <w:sz w:val="20"/>
      <w:u w:val="single"/>
    </w:rPr>
  </w:style>
  <w:style w:type="paragraph" w:styleId="TM6">
    <w:name w:val="toc 6"/>
    <w:basedOn w:val="Normal"/>
    <w:next w:val="Normal"/>
    <w:autoRedefine/>
    <w:uiPriority w:val="39"/>
    <w:semiHidden/>
    <w:unhideWhenUsed/>
    <w:rsid w:val="00E32E59"/>
    <w:pPr>
      <w:spacing w:after="0"/>
      <w:jc w:val="left"/>
    </w:pPr>
    <w:rPr>
      <w:rFonts w:cstheme="minorHAnsi"/>
      <w:szCs w:val="20"/>
    </w:rPr>
  </w:style>
  <w:style w:type="paragraph" w:styleId="TM7">
    <w:name w:val="toc 7"/>
    <w:basedOn w:val="Normal"/>
    <w:next w:val="Normal"/>
    <w:autoRedefine/>
    <w:uiPriority w:val="39"/>
    <w:semiHidden/>
    <w:unhideWhenUsed/>
    <w:rsid w:val="00E32E59"/>
    <w:pPr>
      <w:spacing w:after="0"/>
      <w:jc w:val="left"/>
    </w:pPr>
    <w:rPr>
      <w:rFonts w:cstheme="minorHAnsi"/>
      <w:szCs w:val="20"/>
    </w:rPr>
  </w:style>
  <w:style w:type="paragraph" w:styleId="TM8">
    <w:name w:val="toc 8"/>
    <w:basedOn w:val="Normal"/>
    <w:next w:val="Normal"/>
    <w:autoRedefine/>
    <w:uiPriority w:val="39"/>
    <w:semiHidden/>
    <w:unhideWhenUsed/>
    <w:rsid w:val="00E32E59"/>
    <w:pPr>
      <w:spacing w:after="0"/>
      <w:jc w:val="left"/>
    </w:pPr>
    <w:rPr>
      <w:rFonts w:cstheme="minorHAnsi"/>
      <w:szCs w:val="20"/>
    </w:rPr>
  </w:style>
  <w:style w:type="paragraph" w:styleId="TM9">
    <w:name w:val="toc 9"/>
    <w:basedOn w:val="Normal"/>
    <w:next w:val="Normal"/>
    <w:autoRedefine/>
    <w:uiPriority w:val="39"/>
    <w:semiHidden/>
    <w:unhideWhenUsed/>
    <w:rsid w:val="00E32E59"/>
    <w:pPr>
      <w:spacing w:after="0"/>
      <w:jc w:val="left"/>
    </w:pPr>
    <w:rPr>
      <w:rFonts w:cstheme="minorHAnsi"/>
      <w:szCs w:val="20"/>
    </w:rPr>
  </w:style>
  <w:style w:type="paragraph" w:styleId="TM5">
    <w:name w:val="toc 5"/>
    <w:basedOn w:val="Normal"/>
    <w:next w:val="Normal"/>
    <w:autoRedefine/>
    <w:uiPriority w:val="39"/>
    <w:unhideWhenUsed/>
    <w:rsid w:val="00E32E59"/>
    <w:pPr>
      <w:tabs>
        <w:tab w:val="right" w:leader="dot" w:pos="9072"/>
      </w:tabs>
      <w:ind w:right="567"/>
      <w:jc w:val="left"/>
    </w:pPr>
    <w:rPr>
      <w:b/>
    </w:rPr>
  </w:style>
  <w:style w:type="paragraph" w:styleId="TM2">
    <w:name w:val="toc 2"/>
    <w:basedOn w:val="Normal"/>
    <w:next w:val="Normal"/>
    <w:autoRedefine/>
    <w:uiPriority w:val="39"/>
    <w:unhideWhenUsed/>
    <w:rsid w:val="00E32E59"/>
    <w:pPr>
      <w:tabs>
        <w:tab w:val="left" w:pos="567"/>
        <w:tab w:val="right" w:leader="dot" w:pos="9072"/>
      </w:tabs>
      <w:spacing w:after="100"/>
      <w:ind w:right="567"/>
      <w:jc w:val="left"/>
    </w:pPr>
    <w:rPr>
      <w:b/>
      <w:sz w:val="24"/>
    </w:rPr>
  </w:style>
  <w:style w:type="paragraph" w:styleId="TM3">
    <w:name w:val="toc 3"/>
    <w:basedOn w:val="Normal"/>
    <w:next w:val="Normal"/>
    <w:autoRedefine/>
    <w:uiPriority w:val="39"/>
    <w:unhideWhenUsed/>
    <w:rsid w:val="00E32E59"/>
    <w:pPr>
      <w:tabs>
        <w:tab w:val="left" w:pos="709"/>
        <w:tab w:val="right" w:leader="dot" w:pos="9072"/>
      </w:tabs>
      <w:spacing w:after="100"/>
      <w:ind w:right="567"/>
      <w:jc w:val="left"/>
    </w:pPr>
    <w:rPr>
      <w:b/>
      <w:sz w:val="22"/>
    </w:rPr>
  </w:style>
  <w:style w:type="paragraph" w:styleId="TM4">
    <w:name w:val="toc 4"/>
    <w:basedOn w:val="Normal"/>
    <w:next w:val="Normal"/>
    <w:autoRedefine/>
    <w:uiPriority w:val="39"/>
    <w:unhideWhenUsed/>
    <w:rsid w:val="00E32E59"/>
    <w:pPr>
      <w:tabs>
        <w:tab w:val="left" w:pos="851"/>
        <w:tab w:val="right" w:leader="dot" w:pos="9072"/>
      </w:tabs>
      <w:ind w:right="567"/>
      <w:jc w:val="left"/>
    </w:pPr>
    <w:rPr>
      <w:b/>
    </w:rPr>
  </w:style>
  <w:style w:type="character" w:styleId="Appeldenotedefin">
    <w:name w:val="endnote reference"/>
    <w:basedOn w:val="Policepardfaut"/>
    <w:uiPriority w:val="99"/>
    <w:semiHidden/>
    <w:unhideWhenUsed/>
    <w:rsid w:val="00986322"/>
    <w:rPr>
      <w:vertAlign w:val="superscript"/>
    </w:rPr>
  </w:style>
  <w:style w:type="character" w:styleId="Appelnotedebasdep">
    <w:name w:val="footnote reference"/>
    <w:basedOn w:val="Policepardfaut"/>
    <w:uiPriority w:val="99"/>
    <w:semiHidden/>
    <w:unhideWhenUsed/>
    <w:rsid w:val="00986322"/>
    <w:rPr>
      <w:vertAlign w:val="superscript"/>
    </w:rPr>
  </w:style>
  <w:style w:type="character" w:styleId="AcronymeHTML">
    <w:name w:val="HTML Acronym"/>
    <w:basedOn w:val="Policepardfaut"/>
    <w:uiPriority w:val="99"/>
    <w:unhideWhenUsed/>
    <w:rsid w:val="00986322"/>
  </w:style>
  <w:style w:type="character" w:styleId="CodeHTML">
    <w:name w:val="HTML Code"/>
    <w:basedOn w:val="Policepardfaut"/>
    <w:uiPriority w:val="99"/>
    <w:unhideWhenUsed/>
    <w:rsid w:val="00986322"/>
    <w:rPr>
      <w:rFonts w:ascii="Consolas" w:hAnsi="Consolas" w:cs="Consolas"/>
      <w:sz w:val="20"/>
      <w:szCs w:val="20"/>
    </w:rPr>
  </w:style>
  <w:style w:type="paragraph" w:styleId="Commentaire">
    <w:name w:val="annotation text"/>
    <w:basedOn w:val="Normal"/>
    <w:link w:val="CommentaireCar"/>
    <w:uiPriority w:val="99"/>
    <w:unhideWhenUsed/>
    <w:rsid w:val="00986322"/>
    <w:rPr>
      <w:szCs w:val="20"/>
    </w:rPr>
  </w:style>
  <w:style w:type="character" w:customStyle="1" w:styleId="CommentaireCar">
    <w:name w:val="Commentaire Car"/>
    <w:basedOn w:val="Policepardfaut"/>
    <w:link w:val="Commentaire"/>
    <w:uiPriority w:val="99"/>
    <w:rsid w:val="00986322"/>
    <w:rPr>
      <w:sz w:val="20"/>
      <w:szCs w:val="20"/>
    </w:rPr>
  </w:style>
  <w:style w:type="paragraph" w:styleId="Corpsdetexte2">
    <w:name w:val="Body Text 2"/>
    <w:basedOn w:val="Normal"/>
    <w:link w:val="Corpsdetexte2Car"/>
    <w:uiPriority w:val="99"/>
    <w:unhideWhenUsed/>
    <w:rsid w:val="00974E72"/>
    <w:pPr>
      <w:spacing w:line="300" w:lineRule="auto"/>
    </w:pPr>
  </w:style>
  <w:style w:type="character" w:customStyle="1" w:styleId="Corpsdetexte2Car">
    <w:name w:val="Corps de texte 2 Car"/>
    <w:basedOn w:val="Policepardfaut"/>
    <w:link w:val="Corpsdetexte2"/>
    <w:uiPriority w:val="99"/>
    <w:rsid w:val="00974E72"/>
    <w:rPr>
      <w:sz w:val="20"/>
    </w:rPr>
  </w:style>
  <w:style w:type="paragraph" w:styleId="Corpsdetexte3">
    <w:name w:val="Body Text 3"/>
    <w:basedOn w:val="Normal"/>
    <w:link w:val="Corpsdetexte3Car"/>
    <w:uiPriority w:val="99"/>
    <w:unhideWhenUsed/>
    <w:rsid w:val="00986322"/>
    <w:rPr>
      <w:sz w:val="18"/>
      <w:szCs w:val="16"/>
    </w:rPr>
  </w:style>
  <w:style w:type="character" w:customStyle="1" w:styleId="Corpsdetexte3Car">
    <w:name w:val="Corps de texte 3 Car"/>
    <w:basedOn w:val="Policepardfaut"/>
    <w:link w:val="Corpsdetexte3"/>
    <w:uiPriority w:val="99"/>
    <w:rsid w:val="00986322"/>
    <w:rPr>
      <w:sz w:val="18"/>
      <w:szCs w:val="16"/>
    </w:rPr>
  </w:style>
  <w:style w:type="paragraph" w:styleId="Listepuces">
    <w:name w:val="List Bullet"/>
    <w:basedOn w:val="Normal"/>
    <w:autoRedefine/>
    <w:uiPriority w:val="99"/>
    <w:unhideWhenUsed/>
    <w:rsid w:val="00974E72"/>
    <w:pPr>
      <w:numPr>
        <w:numId w:val="4"/>
      </w:numPr>
      <w:spacing w:after="60"/>
      <w:ind w:left="357" w:hanging="357"/>
      <w:contextualSpacing/>
    </w:pPr>
  </w:style>
  <w:style w:type="paragraph" w:styleId="Listepuces2">
    <w:name w:val="List Bullet 2"/>
    <w:basedOn w:val="Normal"/>
    <w:autoRedefine/>
    <w:uiPriority w:val="99"/>
    <w:unhideWhenUsed/>
    <w:rsid w:val="00EE05DC"/>
    <w:pPr>
      <w:numPr>
        <w:numId w:val="5"/>
      </w:numPr>
      <w:spacing w:after="60"/>
      <w:ind w:left="641" w:hanging="357"/>
      <w:contextualSpacing/>
    </w:pPr>
  </w:style>
  <w:style w:type="paragraph" w:styleId="Listepuces3">
    <w:name w:val="List Bullet 3"/>
    <w:basedOn w:val="Normal"/>
    <w:autoRedefine/>
    <w:uiPriority w:val="99"/>
    <w:unhideWhenUsed/>
    <w:rsid w:val="00EE05DC"/>
    <w:pPr>
      <w:numPr>
        <w:numId w:val="6"/>
      </w:numPr>
      <w:spacing w:after="60"/>
      <w:ind w:left="924" w:hanging="357"/>
      <w:contextualSpacing/>
    </w:pPr>
  </w:style>
  <w:style w:type="paragraph" w:styleId="Listepuces4">
    <w:name w:val="List Bullet 4"/>
    <w:basedOn w:val="Normal"/>
    <w:autoRedefine/>
    <w:uiPriority w:val="99"/>
    <w:unhideWhenUsed/>
    <w:rsid w:val="00EE05DC"/>
    <w:pPr>
      <w:numPr>
        <w:numId w:val="7"/>
      </w:numPr>
      <w:spacing w:after="60"/>
      <w:ind w:left="1208" w:hanging="357"/>
      <w:contextualSpacing/>
    </w:pPr>
    <w:rPr>
      <w:sz w:val="18"/>
    </w:rPr>
  </w:style>
  <w:style w:type="paragraph" w:styleId="Listepuces5">
    <w:name w:val="List Bullet 5"/>
    <w:basedOn w:val="Normal"/>
    <w:autoRedefine/>
    <w:uiPriority w:val="99"/>
    <w:unhideWhenUsed/>
    <w:rsid w:val="00EE05DC"/>
    <w:pPr>
      <w:numPr>
        <w:numId w:val="8"/>
      </w:numPr>
      <w:spacing w:after="60"/>
      <w:contextualSpacing/>
    </w:pPr>
    <w:rPr>
      <w:sz w:val="18"/>
    </w:rPr>
  </w:style>
  <w:style w:type="paragraph" w:styleId="Listenumros2">
    <w:name w:val="List Number 2"/>
    <w:basedOn w:val="Normal"/>
    <w:autoRedefine/>
    <w:uiPriority w:val="99"/>
    <w:unhideWhenUsed/>
    <w:rsid w:val="00EE05DC"/>
    <w:pPr>
      <w:numPr>
        <w:numId w:val="13"/>
      </w:numPr>
      <w:spacing w:after="60"/>
      <w:ind w:left="641" w:hanging="357"/>
      <w:contextualSpacing/>
    </w:pPr>
  </w:style>
  <w:style w:type="paragraph" w:styleId="Listenumros">
    <w:name w:val="List Number"/>
    <w:basedOn w:val="Normal"/>
    <w:autoRedefine/>
    <w:uiPriority w:val="99"/>
    <w:unhideWhenUsed/>
    <w:rsid w:val="00EE05DC"/>
    <w:pPr>
      <w:numPr>
        <w:numId w:val="14"/>
      </w:numPr>
      <w:spacing w:after="60"/>
      <w:ind w:left="357" w:hanging="357"/>
      <w:contextualSpacing/>
    </w:pPr>
  </w:style>
  <w:style w:type="paragraph" w:styleId="Listenumros3">
    <w:name w:val="List Number 3"/>
    <w:basedOn w:val="Normal"/>
    <w:uiPriority w:val="99"/>
    <w:unhideWhenUsed/>
    <w:rsid w:val="00EE05DC"/>
    <w:pPr>
      <w:numPr>
        <w:numId w:val="15"/>
      </w:numPr>
      <w:spacing w:after="60"/>
      <w:ind w:left="924" w:hanging="357"/>
      <w:contextualSpacing/>
    </w:pPr>
  </w:style>
  <w:style w:type="paragraph" w:styleId="Listenumros4">
    <w:name w:val="List Number 4"/>
    <w:basedOn w:val="Normal"/>
    <w:uiPriority w:val="99"/>
    <w:unhideWhenUsed/>
    <w:rsid w:val="00EE05DC"/>
    <w:pPr>
      <w:numPr>
        <w:numId w:val="16"/>
      </w:numPr>
      <w:spacing w:after="60"/>
      <w:ind w:left="1208" w:hanging="357"/>
      <w:contextualSpacing/>
    </w:pPr>
    <w:rPr>
      <w:sz w:val="18"/>
    </w:rPr>
  </w:style>
  <w:style w:type="paragraph" w:styleId="Listenumros5">
    <w:name w:val="List Number 5"/>
    <w:basedOn w:val="Normal"/>
    <w:autoRedefine/>
    <w:uiPriority w:val="99"/>
    <w:unhideWhenUsed/>
    <w:rsid w:val="00EE05DC"/>
    <w:pPr>
      <w:numPr>
        <w:numId w:val="17"/>
      </w:numPr>
      <w:spacing w:after="60"/>
      <w:ind w:left="1491" w:hanging="357"/>
      <w:contextualSpacing/>
    </w:pPr>
    <w:rPr>
      <w:sz w:val="18"/>
    </w:rPr>
  </w:style>
  <w:style w:type="paragraph" w:styleId="Listecontinue">
    <w:name w:val="List Continue"/>
    <w:basedOn w:val="Normal"/>
    <w:uiPriority w:val="99"/>
    <w:unhideWhenUsed/>
    <w:rsid w:val="00C0483D"/>
    <w:pPr>
      <w:spacing w:after="60"/>
      <w:ind w:left="284"/>
      <w:contextualSpacing/>
    </w:pPr>
  </w:style>
  <w:style w:type="paragraph" w:styleId="Listecontinue2">
    <w:name w:val="List Continue 2"/>
    <w:basedOn w:val="Normal"/>
    <w:uiPriority w:val="99"/>
    <w:unhideWhenUsed/>
    <w:rsid w:val="00C0483D"/>
    <w:pPr>
      <w:spacing w:after="60"/>
      <w:ind w:left="567"/>
      <w:contextualSpacing/>
    </w:pPr>
  </w:style>
  <w:style w:type="paragraph" w:styleId="Listecontinue3">
    <w:name w:val="List Continue 3"/>
    <w:basedOn w:val="Normal"/>
    <w:uiPriority w:val="99"/>
    <w:unhideWhenUsed/>
    <w:rsid w:val="00C0483D"/>
    <w:pPr>
      <w:spacing w:after="60"/>
      <w:ind w:left="851"/>
      <w:contextualSpacing/>
    </w:pPr>
  </w:style>
  <w:style w:type="paragraph" w:styleId="Listecontinue4">
    <w:name w:val="List Continue 4"/>
    <w:basedOn w:val="Normal"/>
    <w:uiPriority w:val="99"/>
    <w:unhideWhenUsed/>
    <w:rsid w:val="00C0483D"/>
    <w:pPr>
      <w:spacing w:after="60"/>
      <w:ind w:left="1134"/>
      <w:contextualSpacing/>
    </w:pPr>
    <w:rPr>
      <w:sz w:val="18"/>
    </w:rPr>
  </w:style>
  <w:style w:type="paragraph" w:styleId="Listecontinue5">
    <w:name w:val="List Continue 5"/>
    <w:basedOn w:val="Normal"/>
    <w:uiPriority w:val="99"/>
    <w:unhideWhenUsed/>
    <w:rsid w:val="00C0483D"/>
    <w:pPr>
      <w:spacing w:after="60"/>
      <w:ind w:left="1418"/>
      <w:contextualSpacing/>
    </w:pPr>
    <w:rPr>
      <w:sz w:val="18"/>
    </w:rPr>
  </w:style>
  <w:style w:type="character" w:styleId="Lienhypertextesuivivisit">
    <w:name w:val="FollowedHyperlink"/>
    <w:basedOn w:val="Policepardfaut"/>
    <w:uiPriority w:val="99"/>
    <w:unhideWhenUsed/>
    <w:rsid w:val="00C0483D"/>
    <w:rPr>
      <w:color w:val="954F72" w:themeColor="followedHyperlink"/>
      <w:u w:val="single"/>
    </w:rPr>
  </w:style>
  <w:style w:type="paragraph" w:customStyle="1" w:styleId="Signaturedefindedocument">
    <w:name w:val="Signature de fin de document"/>
    <w:basedOn w:val="Normal"/>
    <w:autoRedefine/>
    <w:qFormat/>
    <w:rsid w:val="00C92732"/>
    <w:pPr>
      <w:spacing w:after="80"/>
      <w:ind w:left="4536"/>
      <w:jc w:val="right"/>
    </w:pPr>
    <w:rPr>
      <w:b/>
    </w:rPr>
  </w:style>
  <w:style w:type="character" w:styleId="Titredulivre">
    <w:name w:val="Book Title"/>
    <w:basedOn w:val="Policepardfaut"/>
    <w:uiPriority w:val="33"/>
    <w:qFormat/>
    <w:rsid w:val="00586979"/>
    <w:rPr>
      <w:b/>
      <w:bCs/>
      <w:i/>
      <w:iCs/>
      <w:spacing w:val="5"/>
    </w:rPr>
  </w:style>
  <w:style w:type="paragraph" w:styleId="Bibliographie">
    <w:name w:val="Bibliography"/>
    <w:basedOn w:val="Normal"/>
    <w:next w:val="Normal"/>
    <w:uiPriority w:val="37"/>
    <w:unhideWhenUsed/>
    <w:rsid w:val="00586979"/>
  </w:style>
  <w:style w:type="paragraph" w:styleId="Explorateurdedocuments">
    <w:name w:val="Document Map"/>
    <w:basedOn w:val="Normal"/>
    <w:link w:val="ExplorateurdedocumentsCar"/>
    <w:uiPriority w:val="99"/>
    <w:semiHidden/>
    <w:unhideWhenUsed/>
    <w:rsid w:val="00586979"/>
    <w:pPr>
      <w:spacing w:after="0"/>
    </w:pPr>
    <w:rPr>
      <w:rFonts w:ascii="Arial" w:hAnsi="Arial"/>
      <w:szCs w:val="26"/>
    </w:rPr>
  </w:style>
  <w:style w:type="character" w:customStyle="1" w:styleId="ExplorateurdedocumentsCar">
    <w:name w:val="Explorateur de documents Car"/>
    <w:basedOn w:val="Policepardfaut"/>
    <w:link w:val="Explorateurdedocuments"/>
    <w:uiPriority w:val="99"/>
    <w:semiHidden/>
    <w:rsid w:val="00586979"/>
    <w:rPr>
      <w:rFonts w:ascii="Arial" w:hAnsi="Arial"/>
      <w:sz w:val="20"/>
      <w:szCs w:val="26"/>
    </w:rPr>
  </w:style>
  <w:style w:type="paragraph" w:styleId="Formuledepolitesse">
    <w:name w:val="Closing"/>
    <w:basedOn w:val="Normal"/>
    <w:link w:val="FormuledepolitesseCar"/>
    <w:uiPriority w:val="99"/>
    <w:unhideWhenUsed/>
    <w:rsid w:val="00586979"/>
    <w:pPr>
      <w:spacing w:after="0"/>
      <w:ind w:left="4252"/>
    </w:pPr>
  </w:style>
  <w:style w:type="character" w:customStyle="1" w:styleId="FormuledepolitesseCar">
    <w:name w:val="Formule de politesse Car"/>
    <w:basedOn w:val="Policepardfaut"/>
    <w:link w:val="Formuledepolitesse"/>
    <w:uiPriority w:val="99"/>
    <w:rsid w:val="00586979"/>
    <w:rPr>
      <w:sz w:val="20"/>
    </w:rPr>
  </w:style>
  <w:style w:type="paragraph" w:styleId="Index1">
    <w:name w:val="index 1"/>
    <w:basedOn w:val="Normal"/>
    <w:next w:val="Normal"/>
    <w:autoRedefine/>
    <w:uiPriority w:val="99"/>
    <w:unhideWhenUsed/>
    <w:rsid w:val="00586979"/>
    <w:pPr>
      <w:spacing w:after="0"/>
      <w:ind w:left="200" w:hanging="200"/>
    </w:pPr>
  </w:style>
  <w:style w:type="paragraph" w:styleId="Index2">
    <w:name w:val="index 2"/>
    <w:basedOn w:val="Normal"/>
    <w:next w:val="Normal"/>
    <w:autoRedefine/>
    <w:uiPriority w:val="99"/>
    <w:unhideWhenUsed/>
    <w:rsid w:val="00586979"/>
    <w:pPr>
      <w:spacing w:after="0"/>
      <w:ind w:left="400" w:hanging="200"/>
    </w:pPr>
  </w:style>
  <w:style w:type="paragraph" w:styleId="Index3">
    <w:name w:val="index 3"/>
    <w:basedOn w:val="Normal"/>
    <w:next w:val="Normal"/>
    <w:autoRedefine/>
    <w:uiPriority w:val="99"/>
    <w:unhideWhenUsed/>
    <w:rsid w:val="00586979"/>
    <w:pPr>
      <w:spacing w:after="0"/>
      <w:ind w:left="600" w:hanging="200"/>
    </w:pPr>
  </w:style>
  <w:style w:type="character" w:styleId="Marquedecommentaire">
    <w:name w:val="annotation reference"/>
    <w:basedOn w:val="Policepardfaut"/>
    <w:uiPriority w:val="99"/>
    <w:unhideWhenUsed/>
    <w:rsid w:val="00586979"/>
    <w:rPr>
      <w:sz w:val="16"/>
      <w:szCs w:val="16"/>
    </w:rPr>
  </w:style>
  <w:style w:type="character" w:styleId="Mention">
    <w:name w:val="Mention"/>
    <w:basedOn w:val="Policepardfaut"/>
    <w:uiPriority w:val="99"/>
    <w:unhideWhenUsed/>
    <w:rsid w:val="006656A0"/>
    <w:rPr>
      <w:color w:val="285F83" w:themeColor="text2"/>
      <w:bdr w:val="none" w:sz="0" w:space="0" w:color="auto"/>
      <w:shd w:val="clear" w:color="auto" w:fill="auto"/>
    </w:rPr>
  </w:style>
  <w:style w:type="paragraph" w:styleId="Retraitcorpsdetexte2">
    <w:name w:val="Body Text Indent 2"/>
    <w:basedOn w:val="Normal"/>
    <w:link w:val="Retraitcorpsdetexte2Car"/>
    <w:uiPriority w:val="99"/>
    <w:semiHidden/>
    <w:unhideWhenUsed/>
    <w:rsid w:val="00586979"/>
    <w:pPr>
      <w:spacing w:line="300" w:lineRule="auto"/>
      <w:ind w:left="284"/>
    </w:pPr>
  </w:style>
  <w:style w:type="character" w:customStyle="1" w:styleId="Retraitcorpsdetexte2Car">
    <w:name w:val="Retrait corps de texte 2 Car"/>
    <w:basedOn w:val="Policepardfaut"/>
    <w:link w:val="Retraitcorpsdetexte2"/>
    <w:uiPriority w:val="99"/>
    <w:semiHidden/>
    <w:rsid w:val="00586979"/>
    <w:rPr>
      <w:sz w:val="20"/>
    </w:rPr>
  </w:style>
  <w:style w:type="paragraph" w:styleId="Retraitcorpsdetexte3">
    <w:name w:val="Body Text Indent 3"/>
    <w:basedOn w:val="Normal"/>
    <w:link w:val="Retraitcorpsdetexte3Car"/>
    <w:uiPriority w:val="99"/>
    <w:semiHidden/>
    <w:unhideWhenUsed/>
    <w:rsid w:val="00586979"/>
    <w:pPr>
      <w:ind w:left="283"/>
    </w:pPr>
    <w:rPr>
      <w:sz w:val="18"/>
      <w:szCs w:val="16"/>
    </w:rPr>
  </w:style>
  <w:style w:type="character" w:customStyle="1" w:styleId="Retraitcorpsdetexte3Car">
    <w:name w:val="Retrait corps de texte 3 Car"/>
    <w:basedOn w:val="Policepardfaut"/>
    <w:link w:val="Retraitcorpsdetexte3"/>
    <w:uiPriority w:val="99"/>
    <w:semiHidden/>
    <w:rsid w:val="00586979"/>
    <w:rPr>
      <w:sz w:val="18"/>
      <w:szCs w:val="16"/>
    </w:rPr>
  </w:style>
  <w:style w:type="paragraph" w:styleId="Salutations">
    <w:name w:val="Salutation"/>
    <w:basedOn w:val="Normal"/>
    <w:next w:val="Normal"/>
    <w:link w:val="SalutationsCar"/>
    <w:uiPriority w:val="99"/>
    <w:unhideWhenUsed/>
    <w:rsid w:val="00586979"/>
  </w:style>
  <w:style w:type="character" w:customStyle="1" w:styleId="SalutationsCar">
    <w:name w:val="Salutations Car"/>
    <w:basedOn w:val="Policepardfaut"/>
    <w:link w:val="Salutations"/>
    <w:uiPriority w:val="99"/>
    <w:rsid w:val="00586979"/>
    <w:rPr>
      <w:sz w:val="20"/>
    </w:rPr>
  </w:style>
  <w:style w:type="paragraph" w:styleId="Signature">
    <w:name w:val="Signature"/>
    <w:basedOn w:val="Normal"/>
    <w:link w:val="SignatureCar"/>
    <w:uiPriority w:val="99"/>
    <w:unhideWhenUsed/>
    <w:rsid w:val="00586979"/>
    <w:pPr>
      <w:spacing w:after="0"/>
      <w:ind w:left="4252"/>
    </w:pPr>
  </w:style>
  <w:style w:type="character" w:customStyle="1" w:styleId="SignatureCar">
    <w:name w:val="Signature Car"/>
    <w:basedOn w:val="Policepardfaut"/>
    <w:link w:val="Signature"/>
    <w:uiPriority w:val="99"/>
    <w:rsid w:val="00586979"/>
    <w:rPr>
      <w:sz w:val="20"/>
    </w:rPr>
  </w:style>
  <w:style w:type="paragraph" w:styleId="Signaturelectronique">
    <w:name w:val="E-mail Signature"/>
    <w:basedOn w:val="Normal"/>
    <w:link w:val="SignaturelectroniqueCar"/>
    <w:uiPriority w:val="99"/>
    <w:unhideWhenUsed/>
    <w:rsid w:val="00586979"/>
    <w:pPr>
      <w:spacing w:after="0"/>
    </w:pPr>
  </w:style>
  <w:style w:type="character" w:customStyle="1" w:styleId="SignaturelectroniqueCar">
    <w:name w:val="Signature électronique Car"/>
    <w:basedOn w:val="Policepardfaut"/>
    <w:link w:val="Signaturelectronique"/>
    <w:uiPriority w:val="99"/>
    <w:rsid w:val="00586979"/>
    <w:rPr>
      <w:sz w:val="20"/>
    </w:rPr>
  </w:style>
  <w:style w:type="paragraph" w:styleId="Textedebulles">
    <w:name w:val="Balloon Text"/>
    <w:basedOn w:val="Normal"/>
    <w:link w:val="TextedebullesCar"/>
    <w:uiPriority w:val="99"/>
    <w:semiHidden/>
    <w:unhideWhenUsed/>
    <w:rsid w:val="00586979"/>
    <w:pPr>
      <w:spacing w:after="0"/>
    </w:pPr>
    <w:rPr>
      <w:rFonts w:cs="Times New Roman"/>
      <w:sz w:val="18"/>
      <w:szCs w:val="18"/>
    </w:rPr>
  </w:style>
  <w:style w:type="character" w:customStyle="1" w:styleId="TextedebullesCar">
    <w:name w:val="Texte de bulles Car"/>
    <w:basedOn w:val="Policepardfaut"/>
    <w:link w:val="Textedebulles"/>
    <w:uiPriority w:val="99"/>
    <w:semiHidden/>
    <w:rsid w:val="00586979"/>
    <w:rPr>
      <w:rFonts w:cs="Times New Roman"/>
      <w:sz w:val="18"/>
      <w:szCs w:val="18"/>
    </w:rPr>
  </w:style>
  <w:style w:type="character" w:styleId="Textedelespacerserv">
    <w:name w:val="Placeholder Text"/>
    <w:basedOn w:val="Policepardfaut"/>
    <w:uiPriority w:val="99"/>
    <w:semiHidden/>
    <w:rsid w:val="00586979"/>
    <w:rPr>
      <w:rFonts w:asciiTheme="minorHAnsi" w:hAnsiTheme="minorHAnsi"/>
      <w:color w:val="666666"/>
    </w:rPr>
  </w:style>
  <w:style w:type="paragraph" w:styleId="Adresseexpditeur">
    <w:name w:val="envelope return"/>
    <w:basedOn w:val="Normal"/>
    <w:uiPriority w:val="99"/>
    <w:unhideWhenUsed/>
    <w:rsid w:val="006656A0"/>
    <w:pPr>
      <w:spacing w:after="0"/>
    </w:pPr>
    <w:rPr>
      <w:rFonts w:asciiTheme="majorHAnsi" w:eastAsiaTheme="majorEastAsia" w:hAnsiTheme="majorHAnsi" w:cstheme="majorBidi"/>
      <w:szCs w:val="20"/>
    </w:rPr>
  </w:style>
  <w:style w:type="paragraph" w:styleId="Adressedestinataire">
    <w:name w:val="envelope address"/>
    <w:basedOn w:val="Normal"/>
    <w:uiPriority w:val="99"/>
    <w:unhideWhenUsed/>
    <w:rsid w:val="006656A0"/>
    <w:pPr>
      <w:framePr w:w="7938" w:h="1985" w:hRule="exact" w:hSpace="141" w:wrap="auto" w:hAnchor="page" w:xAlign="center" w:yAlign="bottom"/>
      <w:spacing w:after="0"/>
      <w:ind w:left="2835"/>
    </w:pPr>
    <w:rPr>
      <w:rFonts w:asciiTheme="majorHAnsi" w:eastAsiaTheme="majorEastAsia" w:hAnsiTheme="majorHAnsi" w:cstheme="majorBidi"/>
      <w:sz w:val="24"/>
    </w:rPr>
  </w:style>
  <w:style w:type="character" w:styleId="Mentionnonrsolue">
    <w:name w:val="Unresolved Mention"/>
    <w:basedOn w:val="Policepardfaut"/>
    <w:uiPriority w:val="99"/>
    <w:semiHidden/>
    <w:unhideWhenUsed/>
    <w:rsid w:val="006656A0"/>
    <w:rPr>
      <w:rFonts w:ascii="Arial" w:hAnsi="Arial"/>
      <w:color w:val="8A8A8A" w:themeColor="text1" w:themeTint="80"/>
      <w:bdr w:val="none" w:sz="0" w:space="0" w:color="auto"/>
      <w:shd w:val="clear" w:color="auto" w:fill="auto"/>
    </w:rPr>
  </w:style>
  <w:style w:type="table" w:styleId="Grilledutableau">
    <w:name w:val="Table Grid"/>
    <w:basedOn w:val="TableauNormal"/>
    <w:uiPriority w:val="39"/>
    <w:rsid w:val="006A0664"/>
    <w:tblPr/>
  </w:style>
  <w:style w:type="table" w:customStyle="1" w:styleId="Tableaubleu">
    <w:name w:val="Tableau bleu"/>
    <w:basedOn w:val="TableauNormal"/>
    <w:uiPriority w:val="99"/>
    <w:rsid w:val="00695755"/>
    <w:pPr>
      <w:jc w:val="center"/>
    </w:pPr>
    <w:tblPr/>
    <w:tblStylePr w:type="firstRow">
      <w:rPr>
        <w:rFonts w:asciiTheme="minorHAnsi" w:hAnsiTheme="minorHAnsi"/>
        <w:b/>
        <w:color w:val="FFFFFF" w:themeColor="background1"/>
        <w:sz w:val="24"/>
      </w:rPr>
    </w:tblStylePr>
    <w:tblStylePr w:type="lastRow">
      <w:rPr>
        <w:rFonts w:asciiTheme="minorHAnsi" w:hAnsiTheme="minorHAnsi"/>
        <w:b/>
        <w:color w:val="285F83" w:themeColor="text2"/>
        <w:sz w:val="24"/>
      </w:rPr>
    </w:tblStylePr>
    <w:tblStylePr w:type="firstCol">
      <w:pPr>
        <w:jc w:val="left"/>
      </w:pPr>
      <w:rPr>
        <w:rFonts w:asciiTheme="minorHAnsi" w:hAnsiTheme="minorHAnsi"/>
        <w:b/>
        <w:sz w:val="20"/>
      </w:rPr>
    </w:tblStylePr>
    <w:tblStylePr w:type="lastCol">
      <w:rPr>
        <w:rFonts w:asciiTheme="minorHAnsi" w:hAnsiTheme="minorHAnsi"/>
        <w:b/>
      </w:rPr>
    </w:tblStylePr>
    <w:tblStylePr w:type="band1Vert">
      <w:rPr>
        <w:rFonts w:asciiTheme="minorHAnsi" w:hAnsiTheme="minorHAnsi"/>
        <w:sz w:val="20"/>
      </w:rPr>
    </w:tblStylePr>
    <w:tblStylePr w:type="band2Vert">
      <w:rPr>
        <w:rFonts w:asciiTheme="minorHAnsi" w:hAnsiTheme="minorHAnsi"/>
      </w:rPr>
    </w:tblStylePr>
    <w:tblStylePr w:type="band1Horz">
      <w:pPr>
        <w:jc w:val="center"/>
      </w:pPr>
      <w:rPr>
        <w:rFonts w:asciiTheme="minorHAnsi" w:hAnsiTheme="minorHAnsi"/>
        <w:color w:val="161616" w:themeColor="text1"/>
        <w:sz w:val="20"/>
      </w:rPr>
    </w:tblStylePr>
    <w:tblStylePr w:type="band2Horz">
      <w:rPr>
        <w:rFonts w:asciiTheme="minorHAnsi" w:hAnsiTheme="minorHAnsi"/>
        <w:color w:val="161616" w:themeColor="text1"/>
        <w:sz w:val="20"/>
      </w:rPr>
    </w:tblStylePr>
    <w:tblStylePr w:type="nwCell">
      <w:rPr>
        <w:rFonts w:asciiTheme="minorHAnsi" w:hAnsiTheme="minorHAnsi"/>
      </w:rPr>
    </w:tblStylePr>
  </w:style>
  <w:style w:type="paragraph" w:customStyle="1" w:styleId="Retraitimportant">
    <w:name w:val="Retrait important"/>
    <w:basedOn w:val="Normal"/>
    <w:next w:val="Corpsdetexte"/>
    <w:autoRedefine/>
    <w:qFormat/>
    <w:rsid w:val="001633C2"/>
    <w:pPr>
      <w:ind w:left="5664"/>
      <w:jc w:val="left"/>
    </w:pPr>
  </w:style>
  <w:style w:type="table" w:customStyle="1" w:styleId="Encadrementgraphique">
    <w:name w:val="Encadrement graphique"/>
    <w:basedOn w:val="TableauNormal"/>
    <w:uiPriority w:val="99"/>
    <w:rsid w:val="00944235"/>
    <w:tblPr/>
    <w:tblStylePr w:type="firstRow">
      <w:rPr>
        <w:rFonts w:asciiTheme="minorHAnsi" w:hAnsiTheme="minorHAnsi"/>
        <w:color w:val="FFFFFF" w:themeColor="background1"/>
        <w:sz w:val="20"/>
      </w:rPr>
    </w:tblStylePr>
  </w:style>
  <w:style w:type="paragraph" w:customStyle="1" w:styleId="Commentairegraphique">
    <w:name w:val="Commentaire graphique"/>
    <w:basedOn w:val="Corpsdetexte"/>
    <w:qFormat/>
    <w:rsid w:val="00C83756"/>
    <w:rPr>
      <w:sz w:val="16"/>
    </w:rPr>
  </w:style>
  <w:style w:type="paragraph" w:customStyle="1" w:styleId="Titredeladcision">
    <w:name w:val="Titre de la décision"/>
    <w:basedOn w:val="Titre1"/>
    <w:qFormat/>
    <w:rsid w:val="00E32E59"/>
    <w:pPr>
      <w:numPr>
        <w:numId w:val="0"/>
      </w:numPr>
      <w:jc w:val="left"/>
    </w:pPr>
  </w:style>
  <w:style w:type="numbering" w:customStyle="1" w:styleId="Listeactuelle1">
    <w:name w:val="Liste actuelle1"/>
    <w:uiPriority w:val="99"/>
    <w:rsid w:val="00E32E59"/>
    <w:pPr>
      <w:numPr>
        <w:numId w:val="18"/>
      </w:numPr>
    </w:pPr>
  </w:style>
  <w:style w:type="paragraph" w:customStyle="1" w:styleId="Corpsdetextedeladcision">
    <w:name w:val="Corps de texte de la décision"/>
    <w:basedOn w:val="Corpsdetexte"/>
    <w:next w:val="Paragraphedeliste"/>
    <w:qFormat/>
    <w:rsid w:val="0055390E"/>
  </w:style>
  <w:style w:type="paragraph" w:styleId="Paragraphedeliste">
    <w:name w:val="List Paragraph"/>
    <w:basedOn w:val="Normal"/>
    <w:uiPriority w:val="34"/>
    <w:qFormat/>
    <w:rsid w:val="00E32E59"/>
    <w:pPr>
      <w:ind w:left="720"/>
      <w:contextualSpacing/>
    </w:pPr>
  </w:style>
  <w:style w:type="paragraph" w:styleId="Objetducommentaire">
    <w:name w:val="annotation subject"/>
    <w:basedOn w:val="Commentaire"/>
    <w:next w:val="Commentaire"/>
    <w:link w:val="ObjetducommentaireCar"/>
    <w:uiPriority w:val="99"/>
    <w:semiHidden/>
    <w:unhideWhenUsed/>
    <w:rsid w:val="00EA7C5B"/>
    <w:rPr>
      <w:b/>
      <w:bCs/>
    </w:rPr>
  </w:style>
  <w:style w:type="character" w:customStyle="1" w:styleId="ObjetducommentaireCar">
    <w:name w:val="Objet du commentaire Car"/>
    <w:basedOn w:val="CommentaireCar"/>
    <w:link w:val="Objetducommentaire"/>
    <w:uiPriority w:val="99"/>
    <w:semiHidden/>
    <w:rsid w:val="00EA7C5B"/>
    <w:rPr>
      <w:b/>
      <w:bCs/>
      <w:sz w:val="20"/>
      <w:szCs w:val="20"/>
    </w:rPr>
  </w:style>
  <w:style w:type="paragraph" w:styleId="Rvision">
    <w:name w:val="Revision"/>
    <w:hidden/>
    <w:uiPriority w:val="99"/>
    <w:semiHidden/>
    <w:rsid w:val="00A9063C"/>
    <w:rPr>
      <w:sz w:val="20"/>
    </w:rPr>
  </w:style>
  <w:style w:type="paragraph" w:customStyle="1" w:styleId="pf0">
    <w:name w:val="pf0"/>
    <w:basedOn w:val="Normal"/>
    <w:rsid w:val="00FF16C8"/>
    <w:pPr>
      <w:spacing w:before="100" w:beforeAutospacing="1" w:after="100" w:afterAutospacing="1"/>
      <w:jc w:val="left"/>
    </w:pPr>
    <w:rPr>
      <w:rFonts w:ascii="Times New Roman" w:eastAsia="Times New Roman" w:hAnsi="Times New Roman" w:cs="Times New Roman"/>
      <w:kern w:val="0"/>
      <w:sz w:val="24"/>
      <w:lang w:eastAsia="fr-FR"/>
      <w14:ligatures w14:val="none"/>
    </w:rPr>
  </w:style>
  <w:style w:type="character" w:customStyle="1" w:styleId="cf01">
    <w:name w:val="cf01"/>
    <w:basedOn w:val="Policepardfaut"/>
    <w:rsid w:val="00FF16C8"/>
    <w:rPr>
      <w:rFonts w:ascii="Segoe UI" w:hAnsi="Segoe UI" w:cs="Segoe UI" w:hint="default"/>
      <w:sz w:val="18"/>
      <w:szCs w:val="18"/>
    </w:rPr>
  </w:style>
  <w:style w:type="character" w:customStyle="1" w:styleId="cf11">
    <w:name w:val="cf11"/>
    <w:basedOn w:val="Policepardfaut"/>
    <w:rsid w:val="00FF16C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3658">
      <w:bodyDiv w:val="1"/>
      <w:marLeft w:val="0"/>
      <w:marRight w:val="0"/>
      <w:marTop w:val="0"/>
      <w:marBottom w:val="0"/>
      <w:divBdr>
        <w:top w:val="none" w:sz="0" w:space="0" w:color="auto"/>
        <w:left w:val="none" w:sz="0" w:space="0" w:color="auto"/>
        <w:bottom w:val="none" w:sz="0" w:space="0" w:color="auto"/>
        <w:right w:val="none" w:sz="0" w:space="0" w:color="auto"/>
      </w:divBdr>
    </w:div>
    <w:div w:id="469858511">
      <w:bodyDiv w:val="1"/>
      <w:marLeft w:val="0"/>
      <w:marRight w:val="0"/>
      <w:marTop w:val="0"/>
      <w:marBottom w:val="0"/>
      <w:divBdr>
        <w:top w:val="none" w:sz="0" w:space="0" w:color="auto"/>
        <w:left w:val="none" w:sz="0" w:space="0" w:color="auto"/>
        <w:bottom w:val="none" w:sz="0" w:space="0" w:color="auto"/>
        <w:right w:val="none" w:sz="0" w:space="0" w:color="auto"/>
      </w:divBdr>
    </w:div>
    <w:div w:id="656805697">
      <w:bodyDiv w:val="1"/>
      <w:marLeft w:val="0"/>
      <w:marRight w:val="0"/>
      <w:marTop w:val="0"/>
      <w:marBottom w:val="0"/>
      <w:divBdr>
        <w:top w:val="none" w:sz="0" w:space="0" w:color="auto"/>
        <w:left w:val="none" w:sz="0" w:space="0" w:color="auto"/>
        <w:bottom w:val="none" w:sz="0" w:space="0" w:color="auto"/>
        <w:right w:val="none" w:sz="0" w:space="0" w:color="auto"/>
      </w:divBdr>
    </w:div>
    <w:div w:id="944575522">
      <w:bodyDiv w:val="1"/>
      <w:marLeft w:val="0"/>
      <w:marRight w:val="0"/>
      <w:marTop w:val="0"/>
      <w:marBottom w:val="0"/>
      <w:divBdr>
        <w:top w:val="none" w:sz="0" w:space="0" w:color="auto"/>
        <w:left w:val="none" w:sz="0" w:space="0" w:color="auto"/>
        <w:bottom w:val="none" w:sz="0" w:space="0" w:color="auto"/>
        <w:right w:val="none" w:sz="0" w:space="0" w:color="auto"/>
      </w:divBdr>
    </w:div>
    <w:div w:id="1054426067">
      <w:bodyDiv w:val="1"/>
      <w:marLeft w:val="0"/>
      <w:marRight w:val="0"/>
      <w:marTop w:val="0"/>
      <w:marBottom w:val="0"/>
      <w:divBdr>
        <w:top w:val="none" w:sz="0" w:space="0" w:color="auto"/>
        <w:left w:val="none" w:sz="0" w:space="0" w:color="auto"/>
        <w:bottom w:val="none" w:sz="0" w:space="0" w:color="auto"/>
        <w:right w:val="none" w:sz="0" w:space="0" w:color="auto"/>
      </w:divBdr>
    </w:div>
    <w:div w:id="132142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erre.frode-de-la-f\AppData\Roaming\Microsoft\PersonnalTemplates\DELIBERATION-VDEF.dotx" TargetMode="External"/></Relationships>
</file>

<file path=word/theme/theme1.xml><?xml version="1.0" encoding="utf-8"?>
<a:theme xmlns:a="http://schemas.openxmlformats.org/drawingml/2006/main" name="Thème Office">
  <a:themeElements>
    <a:clrScheme name="CRE">
      <a:dk1>
        <a:srgbClr val="161616"/>
      </a:dk1>
      <a:lt1>
        <a:srgbClr val="FFFFFF"/>
      </a:lt1>
      <a:dk2>
        <a:srgbClr val="285F83"/>
      </a:dk2>
      <a:lt2>
        <a:srgbClr val="53B1E5"/>
      </a:lt2>
      <a:accent1>
        <a:srgbClr val="A0D037"/>
      </a:accent1>
      <a:accent2>
        <a:srgbClr val="238383"/>
      </a:accent2>
      <a:accent3>
        <a:srgbClr val="77D0D0"/>
      </a:accent3>
      <a:accent4>
        <a:srgbClr val="7F2054"/>
      </a:accent4>
      <a:accent5>
        <a:srgbClr val="DE8969"/>
      </a:accent5>
      <a:accent6>
        <a:srgbClr val="FCA324"/>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8A062E2B1A4048A2B49D1359D17E7F" ma:contentTypeVersion="13" ma:contentTypeDescription="Crée un document." ma:contentTypeScope="" ma:versionID="8f99417cc6763078604809ee59fa2957">
  <xsd:schema xmlns:xsd="http://www.w3.org/2001/XMLSchema" xmlns:xs="http://www.w3.org/2001/XMLSchema" xmlns:p="http://schemas.microsoft.com/office/2006/metadata/properties" xmlns:ns2="e9a8a32e-360a-460a-a7c0-6a8c6ea5ad2d" xmlns:ns3="083710a4-afbf-440c-9917-07a1a16858d2" targetNamespace="http://schemas.microsoft.com/office/2006/metadata/properties" ma:root="true" ma:fieldsID="9ca186be9786fdde2bc0485449a90295" ns2:_="" ns3:_="">
    <xsd:import namespace="e9a8a32e-360a-460a-a7c0-6a8c6ea5ad2d"/>
    <xsd:import namespace="083710a4-afbf-440c-9917-07a1a16858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a8a32e-360a-460a-a7c0-6a8c6ea5ad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4f9ab740-64b3-427a-8217-ba00a6b65c7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3710a4-afbf-440c-9917-07a1a16858d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4a8596b0-c373-4ee4-bf9a-aeb4ab27d085}" ma:internalName="TaxCatchAll" ma:showField="CatchAllData" ma:web="083710a4-afbf-440c-9917-07a1a16858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9a8a32e-360a-460a-a7c0-6a8c6ea5ad2d">
      <Terms xmlns="http://schemas.microsoft.com/office/infopath/2007/PartnerControls"/>
    </lcf76f155ced4ddcb4097134ff3c332f>
    <TaxCatchAll xmlns="083710a4-afbf-440c-9917-07a1a16858d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Ein06</b:Tag>
    <b:SourceType>Misc</b:SourceType>
    <b:Guid>{DE282A40-F12E-CC49-94F1-099599EABF5B}</b:Guid>
    <b:Author>
      <b:Author>
        <b:NameList>
          <b:Person>
            <b:Last>Einstein</b:Last>
            <b:First>Albert</b:First>
          </b:Person>
        </b:NameList>
      </b:Author>
    </b:Author>
    <b:Title>Titre de la citation</b:Title>
    <b:City>Zurich</b:City>
    <b:Year>1906</b:Year>
    <b:CountryRegion>Suisse</b:CountryRegion>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B98225-4039-44E7-A959-7DB8850F7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a8a32e-360a-460a-a7c0-6a8c6ea5ad2d"/>
    <ds:schemaRef ds:uri="083710a4-afbf-440c-9917-07a1a16858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3630F-015E-432E-9FC1-28412F350265}">
  <ds:schemaRefs>
    <ds:schemaRef ds:uri="http://schemas.microsoft.com/office/2006/metadata/properties"/>
    <ds:schemaRef ds:uri="http://schemas.microsoft.com/office/infopath/2007/PartnerControls"/>
    <ds:schemaRef ds:uri="e9a8a32e-360a-460a-a7c0-6a8c6ea5ad2d"/>
    <ds:schemaRef ds:uri="083710a4-afbf-440c-9917-07a1a16858d2"/>
  </ds:schemaRefs>
</ds:datastoreItem>
</file>

<file path=customXml/itemProps3.xml><?xml version="1.0" encoding="utf-8"?>
<ds:datastoreItem xmlns:ds="http://schemas.openxmlformats.org/officeDocument/2006/customXml" ds:itemID="{787299F3-212A-9C47-B0FC-D7C4DC0BC07A}">
  <ds:schemaRefs>
    <ds:schemaRef ds:uri="http://schemas.openxmlformats.org/officeDocument/2006/bibliography"/>
  </ds:schemaRefs>
</ds:datastoreItem>
</file>

<file path=customXml/itemProps4.xml><?xml version="1.0" encoding="utf-8"?>
<ds:datastoreItem xmlns:ds="http://schemas.openxmlformats.org/officeDocument/2006/customXml" ds:itemID="{6AB8D7D7-47D6-4F49-B408-456A245D3D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DELIBERATION-VDEF.dotx</Template>
  <TotalTime>12</TotalTime>
  <Pages>23</Pages>
  <Words>10105</Words>
  <Characters>55583</Characters>
  <Application>Microsoft Office Word</Application>
  <DocSecurity>0</DocSecurity>
  <Lines>463</Lines>
  <Paragraphs>131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Frodé de la Forêt Pierre</dc:creator>
  <cp:keywords/>
  <dc:description/>
  <cp:lastModifiedBy>Moreux Charline</cp:lastModifiedBy>
  <cp:revision>3</cp:revision>
  <cp:lastPrinted>2026-06-05T18:26:00Z</cp:lastPrinted>
  <dcterms:created xsi:type="dcterms:W3CDTF">2026-06-11T16:11:00Z</dcterms:created>
  <dcterms:modified xsi:type="dcterms:W3CDTF">2026-06-11T16:25:00Z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0x010100C58A062E2B1A4048A2B49D1359D17E7F</vt:lpwstr>
  </property>
  <property fmtid="{D5CDD505-2E9C-101B-9397-08002B2CF9AE}" pid="3" name="MediaServiceImageTags">
    <vt:lpwstr/>
  </property>
</Properties>
</file>